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100</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R4-211290</w:t>
      </w:r>
      <w:r>
        <w:rPr>
          <w:rFonts w:hint="eastAsia" w:eastAsia="宋体" w:cs="Arial"/>
          <w:b/>
          <w:color w:val="auto"/>
          <w:sz w:val="24"/>
          <w:szCs w:val="24"/>
          <w:lang w:val="en-US" w:eastAsia="zh-CN"/>
        </w:rPr>
        <w:t>4</w:t>
      </w:r>
    </w:p>
    <w:p>
      <w:pPr>
        <w:pStyle w:val="53"/>
        <w:keepNext/>
        <w:keepLines/>
        <w:pageBreakBefore w:val="0"/>
        <w:widowControl/>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Aug</w:t>
      </w:r>
      <w:r>
        <w:rPr>
          <w:rFonts w:ascii="Arial" w:hAnsi="Arial" w:eastAsia="宋体"/>
          <w:b/>
          <w:color w:val="auto"/>
          <w:sz w:val="24"/>
          <w:szCs w:val="24"/>
          <w:lang w:eastAsia="zh-CN"/>
        </w:rPr>
        <w:t>. 1</w:t>
      </w:r>
      <w:r>
        <w:rPr>
          <w:rFonts w:hint="eastAsia" w:eastAsia="宋体"/>
          <w:b/>
          <w:color w:val="auto"/>
          <w:sz w:val="24"/>
          <w:szCs w:val="24"/>
          <w:lang w:val="en-US" w:eastAsia="zh-CN"/>
        </w:rPr>
        <w:t>6</w:t>
      </w:r>
      <w:r>
        <w:rPr>
          <w:rFonts w:ascii="Arial" w:hAnsi="Arial" w:eastAsia="宋体"/>
          <w:b/>
          <w:color w:val="auto"/>
          <w:sz w:val="24"/>
          <w:szCs w:val="24"/>
          <w:lang w:eastAsia="zh-CN"/>
        </w:rPr>
        <w:t>-2</w:t>
      </w:r>
      <w:r>
        <w:rPr>
          <w:rFonts w:hint="eastAsia" w:eastAsia="宋体"/>
          <w:b/>
          <w:color w:val="auto"/>
          <w:sz w:val="24"/>
          <w:szCs w:val="24"/>
          <w:lang w:val="en-US" w:eastAsia="zh-CN"/>
        </w:rPr>
        <w:t>7</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lang w:val="en-US" w:eastAsia="zh-CN"/>
        </w:rPr>
        <w:t xml:space="preserve">Discussion on inter-band CA </w:t>
      </w:r>
      <w:r>
        <w:rPr>
          <w:rFonts w:hint="eastAsia" w:cs="Arial"/>
          <w:b w:val="0"/>
          <w:bCs/>
          <w:color w:val="auto"/>
          <w:sz w:val="20"/>
          <w:szCs w:val="20"/>
          <w:lang w:val="en-US" w:eastAsia="zh-CN"/>
        </w:rPr>
        <w:t xml:space="preserve">Tx </w:t>
      </w:r>
      <w:r>
        <w:rPr>
          <w:rFonts w:hint="default" w:ascii="Arial" w:hAnsi="Arial" w:cs="Arial"/>
          <w:b w:val="0"/>
          <w:bCs/>
          <w:color w:val="auto"/>
          <w:sz w:val="20"/>
          <w:szCs w:val="20"/>
          <w:lang w:val="en-US" w:eastAsia="zh-CN"/>
        </w:rPr>
        <w:t>RF requirements</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5.1.2.1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As we know, there are different types of UL configuration cases for NR inter-band CA band combination, even in different releases of TS38.101-1 spec, the supported types of UL configuration are different due to new types of combinations are introduced in later releases.. For example, only single carrier and UL CA types of UL configuration are supported in Rel-15, and in the onwards specification such as Rel-17, the types of UL configurations become more complicated where intra-band contiguous CA and combinations of intra-band and inter-band CA are supported. However, the current Tx requirements definitions for inter-band CA are incomplete since some of the supported types of the UL configurations are not incorporated.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review the configurations and the Tx requirements for inter-band CA in TS38.101-1 first, and then provide some discussions on how to complete the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Firstly, let</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s simply summary the supported types of UL CA configurations in Rel-15, Rel-16 and Rel-17, respectively.</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For 2 bands DL inter-band NR CA/DC basket WIDs for Rel-15/Rel-16/Rel-17, the Uplink band is x (x=1, 2), which means both 1 band UL and 2 bands UL are included. Usually, proponents can request NR configurations with either only 1 band UL configuration or both 1 band and 2 bands UL configurations. Consequently, there are some types of UL configurations. For example, for 1 band UL configuration, the UL configurations can be single carrier, or intra-band contiguous CA, or intra-band non-contiguous CA, while for 2 bands UL configuration, the UL configurations can be inter-band CA with CA_nXA-nYA, or CA_nXA-nYB.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In </w:t>
      </w:r>
      <w:r>
        <w:rPr>
          <w:rFonts w:hint="eastAsia" w:eastAsia="宋体" w:cs="Times New Roman"/>
          <w:b w:val="0"/>
          <w:bCs w:val="0"/>
          <w:color w:val="auto"/>
          <w:sz w:val="20"/>
          <w:szCs w:val="20"/>
          <w:highlight w:val="none"/>
          <w:lang w:val="en-US" w:eastAsia="zh-CN" w:bidi="ar-SA"/>
        </w:rPr>
        <w:t xml:space="preserve">the </w:t>
      </w:r>
      <w:r>
        <w:rPr>
          <w:rFonts w:hint="eastAsia" w:ascii="Times New Roman" w:hAnsi="Times New Roman" w:eastAsia="宋体" w:cs="Times New Roman"/>
          <w:b w:val="0"/>
          <w:bCs w:val="0"/>
          <w:color w:val="auto"/>
          <w:sz w:val="20"/>
          <w:szCs w:val="20"/>
          <w:highlight w:val="none"/>
          <w:lang w:val="en-US" w:eastAsia="zh-CN" w:bidi="ar-SA"/>
        </w:rPr>
        <w:t xml:space="preserve">configurations </w:t>
      </w:r>
      <w:r>
        <w:rPr>
          <w:rFonts w:hint="eastAsia" w:eastAsia="宋体" w:cs="Times New Roman"/>
          <w:b w:val="0"/>
          <w:bCs w:val="0"/>
          <w:color w:val="auto"/>
          <w:sz w:val="20"/>
          <w:szCs w:val="20"/>
          <w:highlight w:val="none"/>
          <w:lang w:val="en-US" w:eastAsia="zh-CN" w:bidi="ar-SA"/>
        </w:rPr>
        <w:t>table (</w:t>
      </w:r>
      <w:r>
        <w:rPr>
          <w:rFonts w:hint="eastAsia" w:ascii="Times New Roman" w:hAnsi="Times New Roman" w:eastAsia="宋体" w:cs="Times New Roman"/>
          <w:b w:val="0"/>
          <w:bCs w:val="0"/>
          <w:color w:val="auto"/>
          <w:sz w:val="20"/>
          <w:szCs w:val="20"/>
          <w:highlight w:val="none"/>
          <w:lang w:val="en-US" w:eastAsia="zh-CN" w:bidi="ar-SA"/>
        </w:rPr>
        <w:t>Table 5.5A.3.1-1</w:t>
      </w:r>
      <w:r>
        <w:rPr>
          <w:rFonts w:hint="eastAsia" w:eastAsia="宋体"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zh-CN" w:bidi="ar-SA"/>
        </w:rPr>
        <w:t>for inter-band CA (two bands)</w:t>
      </w:r>
      <w:r>
        <w:rPr>
          <w:rFonts w:hint="eastAsia" w:eastAsia="宋体" w:cs="Times New Roman"/>
          <w:b w:val="0"/>
          <w:bCs w:val="0"/>
          <w:color w:val="auto"/>
          <w:sz w:val="20"/>
          <w:szCs w:val="20"/>
          <w:highlight w:val="none"/>
          <w:lang w:val="en-US" w:eastAsia="zh-CN" w:bidi="ar-SA"/>
        </w:rPr>
        <w:t xml:space="preserve"> in TS38.101-1</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US" w:eastAsia="zh-CN" w:bidi="ar-SA"/>
        </w:rPr>
        <w:t xml:space="preserve">the uplink configurations </w:t>
      </w:r>
      <w:r>
        <w:rPr>
          <w:rFonts w:hint="eastAsia" w:ascii="Times New Roman" w:hAnsi="Times New Roman" w:eastAsia="宋体" w:cs="Times New Roman"/>
          <w:b w:val="0"/>
          <w:bCs w:val="0"/>
          <w:color w:val="auto"/>
          <w:sz w:val="20"/>
          <w:szCs w:val="20"/>
          <w:highlight w:val="none"/>
          <w:lang w:val="en-US" w:eastAsia="zh-CN" w:bidi="ar-SA"/>
        </w:rPr>
        <w:t xml:space="preserve">for a certain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eastAsia="宋体" w:cs="Times New Roman"/>
          <w:b w:val="0"/>
          <w:bCs w:val="0"/>
          <w:color w:val="auto"/>
          <w:sz w:val="20"/>
          <w:szCs w:val="20"/>
          <w:highlight w:val="none"/>
          <w:lang w:val="en-US" w:eastAsia="zh-CN" w:bidi="ar-SA"/>
        </w:rPr>
        <w:t xml:space="preserve"> are captured in </w:t>
      </w:r>
      <w:r>
        <w:rPr>
          <w:rFonts w:hint="eastAsia" w:ascii="Times New Roman" w:hAnsi="Times New Roman" w:eastAsia="宋体" w:cs="Times New Roman"/>
          <w:b w:val="0"/>
          <w:bCs w:val="0"/>
          <w:color w:val="auto"/>
          <w:sz w:val="20"/>
          <w:szCs w:val="20"/>
          <w:highlight w:val="none"/>
          <w:lang w:val="en-US" w:eastAsia="zh-CN" w:bidi="ar-SA"/>
        </w:rPr>
        <w:t xml:space="preserve">the second column </w:t>
      </w:r>
      <w:r>
        <w:rPr>
          <w:rFonts w:hint="eastAsia" w:eastAsia="宋体" w:cs="Times New Roman"/>
          <w:b w:val="0"/>
          <w:bCs w:val="0"/>
          <w:color w:val="auto"/>
          <w:sz w:val="20"/>
          <w:szCs w:val="20"/>
          <w:highlight w:val="none"/>
          <w:lang w:val="en-US" w:eastAsia="zh-CN" w:bidi="ar-SA"/>
        </w:rPr>
        <w:t>titled</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Uplink CA configuration</w:t>
      </w:r>
      <w:r>
        <w:rPr>
          <w:rFonts w:hint="default" w:ascii="Times New Roman" w:hAnsi="Times New Roman"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In TS38.101-1 v15.14.0</w:t>
      </w:r>
      <w:r>
        <w:rPr>
          <w:rFonts w:hint="eastAsia" w:eastAsia="宋体"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zh-CN" w:bidi="ar-SA"/>
        </w:rPr>
        <w:t xml:space="preserve">only </w:t>
      </w:r>
      <w:r>
        <w:rPr>
          <w:rFonts w:hint="eastAsia" w:cs="Times New Roman"/>
          <w:b w:val="0"/>
          <w:bCs/>
          <w:color w:val="auto"/>
          <w:sz w:val="20"/>
          <w:szCs w:val="20"/>
          <w:lang w:val="en-US" w:eastAsia="zh-CN"/>
        </w:rPr>
        <w:t>nXA-nYA type of Uplink CA configuration is supported</w:t>
      </w:r>
      <w:r>
        <w:rPr>
          <w:rFonts w:hint="eastAsia" w:ascii="Times New Roman" w:hAnsi="Times New Roman" w:eastAsia="宋体" w:cs="Times New Roman"/>
          <w:b w:val="0"/>
          <w:bCs w:val="0"/>
          <w:color w:val="auto"/>
          <w:sz w:val="20"/>
          <w:szCs w:val="20"/>
          <w:highlight w:val="none"/>
          <w:lang w:val="en-US" w:eastAsia="zh-CN" w:bidi="ar-SA"/>
        </w:rPr>
        <w:t xml:space="preserve">. For example, </w:t>
      </w:r>
      <w:r>
        <w:rPr>
          <w:rFonts w:hint="eastAsia" w:cs="Times New Roman"/>
          <w:b w:val="0"/>
          <w:bCs/>
          <w:color w:val="auto"/>
          <w:sz w:val="20"/>
          <w:szCs w:val="20"/>
          <w:lang w:val="en-US" w:eastAsia="zh-CN"/>
        </w:rPr>
        <w:t xml:space="preserve">Uplink </w:t>
      </w:r>
      <w:r>
        <w:rPr>
          <w:rFonts w:hint="eastAsia" w:ascii="Times New Roman" w:hAnsi="Times New Roman" w:eastAsia="宋体" w:cs="Times New Roman"/>
          <w:b w:val="0"/>
          <w:bCs w:val="0"/>
          <w:color w:val="auto"/>
          <w:sz w:val="20"/>
          <w:szCs w:val="20"/>
          <w:highlight w:val="none"/>
          <w:lang w:val="en-US" w:eastAsia="zh-CN" w:bidi="ar-SA"/>
        </w:rPr>
        <w:t xml:space="preserve">CA configuration of CA_n3A-n78A is supported for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ascii="Times New Roman" w:hAnsi="Times New Roman" w:eastAsia="宋体" w:cs="Times New Roman"/>
          <w:b w:val="0"/>
          <w:bCs w:val="0"/>
          <w:color w:val="auto"/>
          <w:sz w:val="20"/>
          <w:szCs w:val="20"/>
          <w:highlight w:val="none"/>
          <w:lang w:val="en-US" w:eastAsia="zh-CN" w:bidi="ar-SA"/>
        </w:rPr>
        <w:t xml:space="preserve"> of CA_n3A-n78A. </w:t>
      </w:r>
      <w:r>
        <w:rPr>
          <w:rFonts w:hint="eastAsia" w:eastAsia="宋体" w:cs="Times New Roman"/>
          <w:b w:val="0"/>
          <w:bCs w:val="0"/>
          <w:color w:val="auto"/>
          <w:sz w:val="20"/>
          <w:szCs w:val="20"/>
          <w:highlight w:val="none"/>
          <w:lang w:val="en-US" w:eastAsia="zh-CN" w:bidi="ar-SA"/>
        </w:rPr>
        <w:t>However, i</w:t>
      </w:r>
      <w:r>
        <w:rPr>
          <w:rFonts w:hint="eastAsia" w:ascii="Times New Roman" w:hAnsi="Times New Roman" w:eastAsia="宋体" w:cs="Times New Roman"/>
          <w:b w:val="0"/>
          <w:bCs w:val="0"/>
          <w:color w:val="auto"/>
          <w:sz w:val="20"/>
          <w:szCs w:val="20"/>
          <w:highlight w:val="none"/>
          <w:lang w:val="en-US" w:eastAsia="zh-CN" w:bidi="ar-SA"/>
        </w:rPr>
        <w:t xml:space="preserve">f the CA configuration is not supported in Uplink, </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 xml:space="preserve"> is used, which means only single carrier in one NR band is supported. For example, only single carrier in </w:t>
      </w:r>
      <w:r>
        <w:rPr>
          <w:rFonts w:hint="eastAsia" w:eastAsia="宋体" w:cs="Times New Roman"/>
          <w:b w:val="0"/>
          <w:bCs w:val="0"/>
          <w:color w:val="auto"/>
          <w:sz w:val="20"/>
          <w:szCs w:val="20"/>
          <w:highlight w:val="none"/>
          <w:lang w:val="en-US" w:eastAsia="zh-CN" w:bidi="ar-SA"/>
        </w:rPr>
        <w:t xml:space="preserve">either </w:t>
      </w:r>
      <w:r>
        <w:rPr>
          <w:rFonts w:hint="eastAsia" w:ascii="Times New Roman" w:hAnsi="Times New Roman" w:eastAsia="宋体" w:cs="Times New Roman"/>
          <w:b w:val="0"/>
          <w:bCs w:val="0"/>
          <w:color w:val="auto"/>
          <w:sz w:val="20"/>
          <w:szCs w:val="20"/>
          <w:highlight w:val="none"/>
          <w:lang w:val="en-US" w:eastAsia="zh-CN" w:bidi="ar-SA"/>
        </w:rPr>
        <w:t xml:space="preserve">band  n3 or in band n77 is supported for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ascii="Times New Roman" w:hAnsi="Times New Roman" w:eastAsia="宋体" w:cs="Times New Roman"/>
          <w:b w:val="0"/>
          <w:bCs w:val="0"/>
          <w:color w:val="auto"/>
          <w:sz w:val="20"/>
          <w:szCs w:val="20"/>
          <w:highlight w:val="none"/>
          <w:lang w:val="en-US" w:eastAsia="zh-CN" w:bidi="ar-SA"/>
        </w:rPr>
        <w:t xml:space="preserve"> of CA_n3A-n77A.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Later</w:t>
      </w:r>
      <w:r>
        <w:rPr>
          <w:rFonts w:hint="eastAsia" w:eastAsia="宋体" w:cs="Times New Roman"/>
          <w:b w:val="0"/>
          <w:bCs w:val="0"/>
          <w:color w:val="auto"/>
          <w:sz w:val="20"/>
          <w:szCs w:val="20"/>
          <w:highlight w:val="none"/>
          <w:lang w:val="en-US" w:eastAsia="zh-CN" w:bidi="ar-SA"/>
        </w:rPr>
        <w:t xml:space="preserve"> in Rel-16 and Rel-17 releases,</w:t>
      </w:r>
      <w:r>
        <w:rPr>
          <w:rFonts w:hint="eastAsia" w:ascii="Times New Roman" w:hAnsi="Times New Roman" w:eastAsia="宋体" w:cs="Times New Roman"/>
          <w:b w:val="0"/>
          <w:bCs w:val="0"/>
          <w:color w:val="auto"/>
          <w:sz w:val="20"/>
          <w:szCs w:val="20"/>
          <w:highlight w:val="none"/>
          <w:lang w:val="en-US" w:eastAsia="zh-CN" w:bidi="ar-SA"/>
        </w:rPr>
        <w:t xml:space="preserve"> more inter-band NR CA configurations are added, and </w:t>
      </w:r>
      <w:r>
        <w:rPr>
          <w:rFonts w:hint="eastAsia" w:eastAsia="宋体" w:cs="Times New Roman"/>
          <w:b w:val="0"/>
          <w:bCs w:val="0"/>
          <w:color w:val="auto"/>
          <w:sz w:val="20"/>
          <w:szCs w:val="20"/>
          <w:highlight w:val="none"/>
          <w:lang w:val="en-US" w:eastAsia="zh-CN" w:bidi="ar-SA"/>
        </w:rPr>
        <w:t xml:space="preserve">some new </w:t>
      </w:r>
      <w:r>
        <w:rPr>
          <w:rFonts w:hint="eastAsia" w:ascii="Times New Roman" w:hAnsi="Times New Roman" w:eastAsia="宋体" w:cs="Times New Roman"/>
          <w:b w:val="0"/>
          <w:bCs w:val="0"/>
          <w:color w:val="auto"/>
          <w:sz w:val="20"/>
          <w:szCs w:val="20"/>
          <w:highlight w:val="none"/>
          <w:lang w:val="en-US" w:eastAsia="zh-CN" w:bidi="ar-SA"/>
        </w:rPr>
        <w:t xml:space="preserve">types of UL CA configurations </w:t>
      </w:r>
      <w:r>
        <w:rPr>
          <w:rFonts w:hint="eastAsia" w:eastAsia="宋体" w:cs="Times New Roman"/>
          <w:b w:val="0"/>
          <w:bCs w:val="0"/>
          <w:color w:val="auto"/>
          <w:sz w:val="20"/>
          <w:szCs w:val="20"/>
          <w:highlight w:val="none"/>
          <w:lang w:val="en-US" w:eastAsia="zh-CN" w:bidi="ar-SA"/>
        </w:rPr>
        <w:t xml:space="preserve">comparing to Rel-15 </w:t>
      </w:r>
      <w:r>
        <w:rPr>
          <w:rFonts w:hint="eastAsia" w:ascii="Times New Roman" w:hAnsi="Times New Roman" w:eastAsia="宋体" w:cs="Times New Roman"/>
          <w:b w:val="0"/>
          <w:bCs w:val="0"/>
          <w:color w:val="auto"/>
          <w:sz w:val="20"/>
          <w:szCs w:val="20"/>
          <w:highlight w:val="none"/>
          <w:lang w:val="en-US" w:eastAsia="zh-CN" w:bidi="ar-SA"/>
        </w:rPr>
        <w:t>are introduced, where:</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In TS38.101-1 Rel-16 v16.8.0, UL CA configuration of nXC is introduced. For example, UL CA configuration of CA_n41C is supported for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ascii="Times New Roman" w:hAnsi="Times New Roman" w:eastAsia="宋体" w:cs="Times New Roman"/>
          <w:b w:val="0"/>
          <w:bCs w:val="0"/>
          <w:color w:val="auto"/>
          <w:sz w:val="20"/>
          <w:szCs w:val="20"/>
          <w:highlight w:val="none"/>
          <w:lang w:val="en-US" w:eastAsia="zh-CN" w:bidi="ar-SA"/>
        </w:rPr>
        <w:t xml:space="preserve"> of CA_n41C-n79A.</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In TS38.101-1 Rel-17 v17.2.0, UL CA configuration of nX(2A) and nXA-nYB are introduced. For example, UL CA configuration of CA_n77(2A) is supported for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ascii="Times New Roman" w:hAnsi="Times New Roman" w:eastAsia="宋体" w:cs="Times New Roman"/>
          <w:b w:val="0"/>
          <w:bCs w:val="0"/>
          <w:color w:val="auto"/>
          <w:sz w:val="20"/>
          <w:szCs w:val="20"/>
          <w:highlight w:val="none"/>
          <w:lang w:val="en-US" w:eastAsia="zh-CN" w:bidi="ar-SA"/>
        </w:rPr>
        <w:t xml:space="preserve"> of </w:t>
      </w:r>
      <w:r>
        <w:rPr>
          <w:rFonts w:hint="eastAsia" w:ascii="Times New Roman" w:hAnsi="Times New Roman" w:eastAsia="宋体" w:cs="Times New Roman"/>
          <w:b w:val="0"/>
          <w:bCs w:val="0"/>
          <w:color w:val="auto"/>
          <w:sz w:val="20"/>
          <w:szCs w:val="20"/>
          <w:highlight w:val="none"/>
          <w:lang w:val="en-US" w:eastAsia="ja-JP" w:bidi="ar-SA"/>
        </w:rPr>
        <w:t>CA_n2A-n77(2A)</w:t>
      </w:r>
      <w:r>
        <w:rPr>
          <w:rFonts w:hint="eastAsia" w:ascii="Times New Roman" w:hAnsi="Times New Roman" w:eastAsia="宋体" w:cs="Times New Roman"/>
          <w:b w:val="0"/>
          <w:bCs w:val="0"/>
          <w:color w:val="auto"/>
          <w:sz w:val="20"/>
          <w:szCs w:val="20"/>
          <w:highlight w:val="none"/>
          <w:lang w:val="en-US" w:eastAsia="zh-CN" w:bidi="ar-SA"/>
        </w:rPr>
        <w:t xml:space="preserve">, and UL CA configuration of CA_n46A-n48B is supported for </w:t>
      </w:r>
      <w:r>
        <w:rPr>
          <w:rFonts w:hint="eastAsia" w:ascii="Times New Roman" w:hAnsi="Times New Roman" w:eastAsia="宋体" w:cs="Times New Roman"/>
          <w:b w:val="0"/>
          <w:bCs w:val="0"/>
          <w:color w:val="auto"/>
          <w:sz w:val="20"/>
          <w:szCs w:val="20"/>
          <w:highlight w:val="none"/>
          <w:lang w:val="en-GB" w:eastAsia="en-GB" w:bidi="ar-SA"/>
        </w:rPr>
        <w:t>NR CA Configuration</w:t>
      </w:r>
      <w:r>
        <w:rPr>
          <w:rFonts w:hint="eastAsia" w:ascii="Times New Roman" w:hAnsi="Times New Roman" w:eastAsia="宋体" w:cs="Times New Roman"/>
          <w:b w:val="0"/>
          <w:bCs w:val="0"/>
          <w:color w:val="auto"/>
          <w:sz w:val="20"/>
          <w:szCs w:val="20"/>
          <w:highlight w:val="none"/>
          <w:lang w:val="en-US" w:eastAsia="zh-CN" w:bidi="ar-SA"/>
        </w:rPr>
        <w:t xml:space="preserve"> of CA_n46A-n48B.</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In summary, the supported types of UL CA configurations in TS38.101-1 in different releases can be found in table 1.</w:t>
      </w:r>
    </w:p>
    <w:p>
      <w:pPr>
        <w:keepNext/>
        <w:keepLines/>
        <w:pageBreakBefore w:val="0"/>
        <w:widowControl/>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Table 1. The supported types of UL CA configurations in </w:t>
      </w:r>
      <w:r>
        <w:rPr>
          <w:rFonts w:hint="eastAsia" w:cs="Times New Roman"/>
          <w:b w:val="0"/>
          <w:bCs/>
          <w:color w:val="auto"/>
          <w:sz w:val="20"/>
          <w:szCs w:val="20"/>
          <w:lang w:val="en-US" w:eastAsia="zh-CN"/>
        </w:rPr>
        <w:t>different releases of TS38.101-1 spec</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6"/>
        <w:gridCol w:w="1441"/>
        <w:gridCol w:w="1441"/>
        <w:gridCol w:w="1441"/>
        <w:gridCol w:w="1441"/>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6" w:type="dxa"/>
            <w:vMerge w:val="restart"/>
            <w:vAlign w:val="center"/>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TS38.101-1</w:t>
            </w:r>
          </w:p>
        </w:tc>
        <w:tc>
          <w:tcPr>
            <w:tcW w:w="7208" w:type="dxa"/>
            <w:gridSpan w:val="5"/>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Supported types of </w:t>
            </w:r>
            <w:r>
              <w:rPr>
                <w:rFonts w:hint="eastAsia" w:ascii="Times New Roman" w:hAnsi="Times New Roman" w:eastAsia="宋体" w:cs="Times New Roman"/>
                <w:b w:val="0"/>
                <w:bCs w:val="0"/>
                <w:color w:val="auto"/>
                <w:sz w:val="20"/>
                <w:szCs w:val="20"/>
                <w:highlight w:val="none"/>
                <w:lang w:val="en-US" w:eastAsia="zh-CN" w:bidi="ar-SA"/>
              </w:rPr>
              <w:t>UL CA configuration</w:t>
            </w:r>
            <w:r>
              <w:rPr>
                <w:rFonts w:hint="eastAsia" w:eastAsia="宋体" w:cs="Times New Roman"/>
                <w:b w:val="0"/>
                <w:bCs w:val="0"/>
                <w:color w:val="auto"/>
                <w:sz w:val="20"/>
                <w:szCs w:val="20"/>
                <w:highlight w:val="none"/>
                <w:lang w:val="en-US" w:eastAsia="zh-CN" w:bidi="ar-SA"/>
              </w:rPr>
              <w:t>s for NR inter-band CA band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6" w:type="dxa"/>
            <w:vMerge w:val="continue"/>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bidi="ar-SA"/>
              </w:rPr>
            </w:pP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vertAlign w:val="baseline"/>
                <w:lang w:val="en-US" w:eastAsia="zh-CN" w:bidi="ar-SA"/>
              </w:rPr>
              <w:t>-</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nXA-nYA</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nXC</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nX(2A)</w:t>
            </w:r>
          </w:p>
        </w:tc>
        <w:tc>
          <w:tcPr>
            <w:tcW w:w="1444"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nXA-nYB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6"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vertAlign w:val="baseline"/>
                <w:lang w:val="en-US" w:eastAsia="zh-CN" w:bidi="ar-SA"/>
              </w:rPr>
              <w:t xml:space="preserve">Rel-15 </w:t>
            </w:r>
            <w:r>
              <w:rPr>
                <w:rFonts w:hint="eastAsia" w:ascii="Times New Roman" w:hAnsi="Times New Roman" w:eastAsia="宋体" w:cs="Times New Roman"/>
                <w:b w:val="0"/>
                <w:bCs w:val="0"/>
                <w:color w:val="auto"/>
                <w:sz w:val="20"/>
                <w:szCs w:val="20"/>
                <w:highlight w:val="none"/>
                <w:lang w:val="en-US" w:eastAsia="zh-CN" w:bidi="ar-SA"/>
              </w:rPr>
              <w:t>v15.14.0</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4"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6"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vertAlign w:val="baseline"/>
                <w:lang w:val="en-US" w:eastAsia="zh-CN" w:bidi="ar-SA"/>
              </w:rPr>
              <w:t xml:space="preserve">Rel-16 </w:t>
            </w:r>
            <w:r>
              <w:rPr>
                <w:rFonts w:hint="eastAsia" w:ascii="Times New Roman" w:hAnsi="Times New Roman" w:eastAsia="宋体" w:cs="Times New Roman"/>
                <w:b w:val="0"/>
                <w:bCs w:val="0"/>
                <w:color w:val="auto"/>
                <w:sz w:val="20"/>
                <w:szCs w:val="20"/>
                <w:highlight w:val="none"/>
                <w:lang w:val="en-US" w:eastAsia="zh-CN" w:bidi="ar-SA"/>
              </w:rPr>
              <w:t>v16.8.0</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4"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6"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eastAsia" w:ascii="Times New Roman" w:hAnsi="Times New Roman" w:eastAsia="宋体" w:cs="Times New Roman"/>
                <w:b w:val="0"/>
                <w:bCs w:val="0"/>
                <w:color w:val="auto"/>
                <w:sz w:val="20"/>
                <w:szCs w:val="20"/>
                <w:highlight w:val="none"/>
                <w:vertAlign w:val="baseline"/>
                <w:lang w:val="en-US" w:eastAsia="zh-CN" w:bidi="ar-SA"/>
              </w:rPr>
              <w:t xml:space="preserve">Rel-17 </w:t>
            </w:r>
            <w:r>
              <w:rPr>
                <w:rFonts w:hint="eastAsia" w:ascii="Times New Roman" w:hAnsi="Times New Roman" w:eastAsia="宋体" w:cs="Times New Roman"/>
                <w:b w:val="0"/>
                <w:bCs w:val="0"/>
                <w:color w:val="auto"/>
                <w:sz w:val="20"/>
                <w:szCs w:val="20"/>
                <w:highlight w:val="none"/>
                <w:lang w:val="en-US" w:eastAsia="zh-CN" w:bidi="ar-SA"/>
              </w:rPr>
              <w:t>v17.2.0</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1"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c>
          <w:tcPr>
            <w:tcW w:w="1444"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bidi="ar-SA"/>
              </w:rPr>
            </w:pPr>
            <w:r>
              <w:rPr>
                <w:rFonts w:hint="default" w:ascii="Arial" w:hAnsi="Arial" w:eastAsia="宋体" w:cs="Arial"/>
                <w:b w:val="0"/>
                <w:bCs w:val="0"/>
                <w:color w:val="auto"/>
                <w:sz w:val="20"/>
                <w:szCs w:val="20"/>
                <w:highlight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4" w:type="dxa"/>
            <w:gridSpan w:val="6"/>
          </w:tcPr>
          <w:p>
            <w:pPr>
              <w:keepNext/>
              <w:keepLines/>
              <w:pageBreakBefore w:val="0"/>
              <w:widowControl/>
              <w:numPr>
                <w:ilvl w:val="-1"/>
                <w:numId w:val="0"/>
              </w:numPr>
              <w:kinsoku/>
              <w:wordWrap/>
              <w:overflowPunct/>
              <w:topLinePunct w:val="0"/>
              <w:autoSpaceDE/>
              <w:autoSpaceDN/>
              <w:bidi w:val="0"/>
              <w:adjustRightInd/>
              <w:snapToGrid/>
              <w:spacing w:after="120"/>
              <w:jc w:val="left"/>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Note: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means single carrier configuration in the UL</w:t>
            </w:r>
          </w:p>
        </w:tc>
      </w:tr>
    </w:tbl>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Different </w:t>
      </w:r>
      <w:r>
        <w:rPr>
          <w:rFonts w:hint="eastAsia" w:ascii="Times New Roman" w:hAnsi="Times New Roman" w:eastAsia="宋体" w:cs="Times New Roman"/>
          <w:b/>
          <w:bCs/>
          <w:color w:val="auto"/>
          <w:sz w:val="20"/>
          <w:szCs w:val="20"/>
          <w:highlight w:val="none"/>
          <w:lang w:val="en-US" w:eastAsia="zh-CN" w:bidi="ar-SA"/>
        </w:rPr>
        <w:t xml:space="preserve">types of UL CA configurations </w:t>
      </w:r>
      <w:r>
        <w:rPr>
          <w:rFonts w:hint="eastAsia" w:eastAsia="宋体" w:cs="Times New Roman"/>
          <w:b/>
          <w:bCs/>
          <w:color w:val="auto"/>
          <w:sz w:val="20"/>
          <w:szCs w:val="20"/>
          <w:highlight w:val="none"/>
          <w:lang w:val="en-US" w:eastAsia="zh-CN" w:bidi="ar-SA"/>
        </w:rPr>
        <w:t xml:space="preserve">are supported for inter-band NR CA band combination in different </w:t>
      </w:r>
      <w:r>
        <w:rPr>
          <w:rFonts w:hint="eastAsia" w:ascii="Times New Roman" w:hAnsi="Times New Roman" w:eastAsia="宋体" w:cs="Times New Roman"/>
          <w:b/>
          <w:bCs/>
          <w:color w:val="auto"/>
          <w:sz w:val="20"/>
          <w:szCs w:val="20"/>
          <w:highlight w:val="none"/>
          <w:lang w:val="en-US" w:eastAsia="zh-CN" w:bidi="ar-SA"/>
        </w:rPr>
        <w:t>releases</w:t>
      </w:r>
      <w:r>
        <w:rPr>
          <w:rFonts w:hint="eastAsia" w:eastAsia="宋体" w:cs="Times New Roman"/>
          <w:b/>
          <w:bCs/>
          <w:color w:val="auto"/>
          <w:sz w:val="20"/>
          <w:szCs w:val="20"/>
          <w:highlight w:val="none"/>
          <w:lang w:val="en-US" w:eastAsia="zh-CN" w:bidi="ar-SA"/>
        </w:rPr>
        <w:t xml:space="preserve"> of TS38.101-1.</w:t>
      </w:r>
      <w:r>
        <w:rPr>
          <w:rFonts w:hint="eastAsia" w:ascii="Times New Roman" w:hAnsi="Times New Roman" w:eastAsia="宋体" w:cs="Times New Roman"/>
          <w:b/>
          <w:bCs/>
          <w:color w:val="auto"/>
          <w:sz w:val="20"/>
          <w:szCs w:val="20"/>
          <w:highlight w:val="none"/>
          <w:lang w:val="en-US" w:eastAsia="zh-CN" w:bidi="ar-SA"/>
        </w:rPr>
        <w:t xml:space="preserv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ascii="Times New Roman" w:hAnsi="Times New Roman" w:eastAsia="宋体" w:cs="Times New Roman"/>
          <w:b w:val="0"/>
          <w:bCs w:val="0"/>
          <w:color w:val="auto"/>
          <w:sz w:val="20"/>
          <w:szCs w:val="20"/>
          <w:highlight w:val="none"/>
          <w:lang w:val="en-US" w:eastAsia="zh-CN" w:bidi="ar-SA"/>
        </w:rPr>
        <w:t>Secondly, let</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 xml:space="preserve">s simply summary the Tx requirements for </w:t>
      </w:r>
      <w:r>
        <w:rPr>
          <w:rFonts w:hint="eastAsia" w:cs="Times New Roman"/>
          <w:b w:val="0"/>
          <w:bCs/>
          <w:color w:val="auto"/>
          <w:sz w:val="20"/>
          <w:szCs w:val="20"/>
          <w:lang w:val="en-US" w:eastAsia="zh-CN"/>
        </w:rPr>
        <w:t xml:space="preserve">inter-band CA band combination.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When we look at the specification structure of TS38.101-1, we can see that separate clauses are used for intra-band contiguous CA, intra-band non-contiguous CA and inter-band CA. For inter-band CA Tx requirements, they are defined with some simply description by referring to the single carrier except </w:t>
      </w:r>
      <w:r>
        <w:rPr>
          <w:rFonts w:hint="eastAsia" w:cs="Times New Roman"/>
          <w:b w:val="0"/>
          <w:bCs/>
          <w:color w:val="auto"/>
          <w:sz w:val="20"/>
          <w:szCs w:val="20"/>
          <w:lang w:val="en-GB" w:eastAsia="en-GB"/>
        </w:rPr>
        <w:t>UE maximum output power</w:t>
      </w:r>
      <w:r>
        <w:rPr>
          <w:rFonts w:hint="eastAsia" w:eastAsia="宋体" w:cs="Times New Roman"/>
          <w:b w:val="0"/>
          <w:bCs/>
          <w:color w:val="auto"/>
          <w:sz w:val="20"/>
          <w:szCs w:val="20"/>
          <w:lang w:val="en-US" w:eastAsia="zh-CN"/>
        </w:rPr>
        <w:t xml:space="preserve"> requirement. However, the descriptions are </w:t>
      </w:r>
      <w:r>
        <w:rPr>
          <w:rFonts w:hint="eastAsia" w:cs="Times New Roman"/>
          <w:b w:val="0"/>
          <w:bCs/>
          <w:color w:val="auto"/>
          <w:sz w:val="20"/>
          <w:szCs w:val="20"/>
          <w:lang w:val="en-US" w:eastAsia="zh-CN"/>
        </w:rPr>
        <w:t>inconsistency with each other. The summary for Rel-15 spec can be found in table 2.</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cs="Times New Roman"/>
          <w:b w:val="0"/>
          <w:bCs/>
          <w:color w:val="auto"/>
          <w:sz w:val="20"/>
          <w:szCs w:val="20"/>
          <w:lang w:val="en-US" w:eastAsia="zh-CN"/>
        </w:rPr>
        <w:t xml:space="preserve">As discussed above, different types of </w:t>
      </w:r>
      <w:r>
        <w:rPr>
          <w:rFonts w:hint="eastAsia" w:ascii="Times New Roman" w:hAnsi="Times New Roman" w:eastAsia="宋体" w:cs="Times New Roman"/>
          <w:b w:val="0"/>
          <w:bCs w:val="0"/>
          <w:color w:val="auto"/>
          <w:sz w:val="20"/>
          <w:szCs w:val="20"/>
          <w:highlight w:val="none"/>
          <w:lang w:val="en-US" w:eastAsia="zh-CN" w:bidi="ar-SA"/>
        </w:rPr>
        <w:t>UL CA configurations</w:t>
      </w:r>
      <w:r>
        <w:rPr>
          <w:rFonts w:hint="eastAsia" w:eastAsia="宋体" w:cs="Times New Roman"/>
          <w:b w:val="0"/>
          <w:bCs w:val="0"/>
          <w:color w:val="auto"/>
          <w:sz w:val="20"/>
          <w:szCs w:val="20"/>
          <w:highlight w:val="none"/>
          <w:lang w:val="en-US" w:eastAsia="zh-CN" w:bidi="ar-SA"/>
        </w:rPr>
        <w:t xml:space="preserve"> are supported for inter-band NR CA</w:t>
      </w:r>
      <w:r>
        <w:rPr>
          <w:rFonts w:hint="eastAsia" w:ascii="Times New Roman" w:hAnsi="Times New Roman" w:eastAsia="宋体" w:cs="Times New Roman"/>
          <w:b w:val="0"/>
          <w:bCs w:val="0"/>
          <w:color w:val="auto"/>
          <w:sz w:val="20"/>
          <w:szCs w:val="20"/>
          <w:highlight w:val="none"/>
          <w:lang w:val="en-US" w:eastAsia="zh-CN" w:bidi="ar-SA"/>
        </w:rPr>
        <w:t xml:space="preserve"> in TS38.101-1</w:t>
      </w:r>
      <w:r>
        <w:rPr>
          <w:rFonts w:hint="eastAsia" w:eastAsia="宋体" w:cs="Times New Roman"/>
          <w:b w:val="0"/>
          <w:bCs w:val="0"/>
          <w:color w:val="auto"/>
          <w:sz w:val="20"/>
          <w:szCs w:val="20"/>
          <w:highlight w:val="none"/>
          <w:lang w:val="en-US" w:eastAsia="zh-CN" w:bidi="ar-SA"/>
        </w:rPr>
        <w:t xml:space="preserve">. Therefore, the definition for Tx requirements should explicitly identify/incorporate each types of </w:t>
      </w:r>
      <w:r>
        <w:rPr>
          <w:rFonts w:hint="eastAsia" w:ascii="Times New Roman" w:hAnsi="Times New Roman" w:eastAsia="宋体" w:cs="Times New Roman"/>
          <w:b w:val="0"/>
          <w:bCs w:val="0"/>
          <w:color w:val="auto"/>
          <w:sz w:val="20"/>
          <w:szCs w:val="20"/>
          <w:highlight w:val="none"/>
          <w:lang w:val="en-US" w:eastAsia="zh-CN" w:bidi="ar-SA"/>
        </w:rPr>
        <w:t>UL CA configurations</w:t>
      </w:r>
      <w:r>
        <w:rPr>
          <w:rFonts w:hint="eastAsia" w:eastAsia="宋体" w:cs="Times New Roman"/>
          <w:b w:val="0"/>
          <w:bCs w:val="0"/>
          <w:color w:val="auto"/>
          <w:sz w:val="20"/>
          <w:szCs w:val="20"/>
          <w:highlight w:val="none"/>
          <w:lang w:val="en-US" w:eastAsia="zh-CN" w:bidi="ar-SA"/>
        </w:rPr>
        <w:t>.</w:t>
      </w:r>
    </w:p>
    <w:p>
      <w:pPr>
        <w:keepNext/>
        <w:keepLines/>
        <w:pageBreakBefore w:val="0"/>
        <w:widowControl/>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Table 2. Tx requirements </w:t>
      </w:r>
      <w:r>
        <w:rPr>
          <w:rFonts w:hint="eastAsia" w:cs="Times New Roman"/>
          <w:b w:val="0"/>
          <w:bCs/>
          <w:color w:val="auto"/>
          <w:sz w:val="20"/>
          <w:szCs w:val="20"/>
          <w:lang w:val="en-US" w:eastAsia="zh-CN"/>
        </w:rPr>
        <w:t xml:space="preserve"> in Rel-15 TS38.101-1 </w:t>
      </w:r>
      <w:r>
        <w:rPr>
          <w:rFonts w:hint="eastAsia" w:eastAsia="宋体" w:cs="Times New Roman"/>
          <w:b w:val="0"/>
          <w:bCs w:val="0"/>
          <w:color w:val="auto"/>
          <w:sz w:val="20"/>
          <w:szCs w:val="20"/>
          <w:highlight w:val="none"/>
          <w:lang w:val="en-US" w:eastAsia="zh-CN"/>
        </w:rPr>
        <w:t>for</w:t>
      </w:r>
      <w:r>
        <w:rPr>
          <w:rFonts w:hint="eastAsia" w:cs="Times New Roman"/>
          <w:b w:val="0"/>
          <w:bCs/>
          <w:color w:val="auto"/>
          <w:sz w:val="20"/>
          <w:szCs w:val="20"/>
          <w:lang w:val="en-US" w:eastAsia="zh-CN"/>
        </w:rPr>
        <w:t xml:space="preserve"> inter-band CA band combination</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2"/>
        <w:gridCol w:w="7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Tx requirements</w:t>
            </w:r>
          </w:p>
        </w:tc>
        <w:tc>
          <w:tcPr>
            <w:tcW w:w="7225" w:type="dxa"/>
          </w:tcPr>
          <w:p>
            <w:pPr>
              <w:keepNext/>
              <w:keepLines/>
              <w:pageBreakBefore w:val="0"/>
              <w:widowControl/>
              <w:numPr>
                <w:ilvl w:val="-1"/>
                <w:numId w:val="0"/>
              </w:numPr>
              <w:kinsoku/>
              <w:wordWrap/>
              <w:overflowPunct/>
              <w:topLinePunct w:val="0"/>
              <w:autoSpaceDE/>
              <w:autoSpaceDN/>
              <w:bidi w:val="0"/>
              <w:adjustRightInd/>
              <w:snapToGrid/>
              <w:spacing w:after="120"/>
              <w:jc w:val="center"/>
              <w:textAlignment w:val="auto"/>
              <w:outlineLvl w:val="9"/>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 xml:space="preserve">Definitions in current </w:t>
            </w:r>
            <w:r>
              <w:rPr>
                <w:rFonts w:hint="eastAsia" w:cs="Times New Roman"/>
                <w:b w:val="0"/>
                <w:bCs/>
                <w:color w:val="auto"/>
                <w:sz w:val="20"/>
                <w:szCs w:val="20"/>
                <w:lang w:val="en-US" w:eastAsia="zh-CN"/>
              </w:rPr>
              <w:t>Rel-15</w:t>
            </w:r>
            <w:r>
              <w:rPr>
                <w:rFonts w:hint="eastAsia" w:eastAsia="宋体" w:cs="Times New Roman"/>
                <w:b w:val="0"/>
                <w:bCs w:val="0"/>
                <w:color w:val="auto"/>
                <w:sz w:val="20"/>
                <w:szCs w:val="20"/>
                <w:highlight w:val="none"/>
                <w:vertAlign w:val="baseline"/>
                <w:lang w:val="en-US" w:eastAsia="zh-CN"/>
              </w:rPr>
              <w:t xml:space="preserve"> TS38.101-1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keepNext/>
              <w:keepLines/>
              <w:pageBreakBefore w:val="0"/>
              <w:widowControl/>
              <w:kinsoku/>
              <w:wordWrap/>
              <w:overflowPunct/>
              <w:topLinePunct w:val="0"/>
              <w:autoSpaceDE/>
              <w:autoSpaceDN/>
              <w:bidi w:val="0"/>
              <w:adjustRightInd/>
              <w:snapToGrid/>
              <w:textAlignment w:val="auto"/>
              <w:rPr>
                <w:rFonts w:hint="eastAsia" w:eastAsia="宋体" w:cs="Times New Roman"/>
                <w:b w:val="0"/>
                <w:bCs w:val="0"/>
                <w:color w:val="auto"/>
                <w:sz w:val="18"/>
                <w:szCs w:val="18"/>
                <w:highlight w:val="none"/>
                <w:vertAlign w:val="baseline"/>
                <w:lang w:val="en-US" w:eastAsia="zh-CN"/>
              </w:rPr>
            </w:pPr>
            <w:r>
              <w:rPr>
                <w:color w:val="auto"/>
                <w:sz w:val="18"/>
                <w:szCs w:val="18"/>
                <w:lang w:val="en-GB" w:eastAsia="en-GB"/>
              </w:rPr>
              <w:t>6.2A.1.3</w:t>
            </w:r>
            <w:r>
              <w:rPr>
                <w:color w:val="auto"/>
                <w:sz w:val="18"/>
                <w:szCs w:val="18"/>
                <w:lang w:val="en-GB" w:eastAsia="en-GB"/>
              </w:rPr>
              <w:tab/>
            </w:r>
            <w:r>
              <w:rPr>
                <w:color w:val="auto"/>
                <w:sz w:val="18"/>
                <w:szCs w:val="18"/>
                <w:lang w:val="en-GB" w:eastAsia="en-GB"/>
              </w:rPr>
              <w:t>UE maximum output power for Inter-band CA</w:t>
            </w:r>
          </w:p>
        </w:tc>
        <w:tc>
          <w:tcPr>
            <w:tcW w:w="7225" w:type="dxa"/>
          </w:tcPr>
          <w:p>
            <w:pPr>
              <w:keepNext/>
              <w:keepLines/>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i w:val="0"/>
                <w:iCs w:val="0"/>
                <w:color w:val="auto"/>
                <w:sz w:val="18"/>
                <w:szCs w:val="18"/>
                <w:lang w:eastAsia="en-GB"/>
              </w:rPr>
            </w:pPr>
            <w:r>
              <w:rPr>
                <w:rFonts w:ascii="Times New Roman" w:hAnsi="Times New Roman" w:eastAsia="Times New Roman" w:cs="Times New Roman"/>
                <w:i w:val="0"/>
                <w:iCs w:val="0"/>
                <w:color w:val="auto"/>
                <w:sz w:val="18"/>
                <w:szCs w:val="18"/>
                <w:highlight w:val="yellow"/>
                <w:lang w:eastAsia="en-GB"/>
              </w:rPr>
              <w:t>For inter-band carrier aggregation with one uplink carrier assigned to one NR band</w:t>
            </w:r>
            <w:r>
              <w:rPr>
                <w:rFonts w:ascii="Times New Roman" w:hAnsi="Times New Roman" w:eastAsia="Times New Roman" w:cs="Times New Roman"/>
                <w:i w:val="0"/>
                <w:iCs w:val="0"/>
                <w:color w:val="auto"/>
                <w:sz w:val="18"/>
                <w:szCs w:val="18"/>
                <w:lang w:eastAsia="en-GB"/>
              </w:rPr>
              <w:t>, the transmitter power requirements in clause 6.2 apply.</w:t>
            </w:r>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18"/>
                <w:szCs w:val="18"/>
                <w:highlight w:val="none"/>
                <w:vertAlign w:val="baseline"/>
                <w:lang w:val="en-US" w:eastAsia="zh-CN"/>
              </w:rPr>
            </w:pPr>
            <w:r>
              <w:rPr>
                <w:rFonts w:ascii="Times New Roman" w:hAnsi="Times New Roman" w:eastAsia="Times New Roman" w:cs="Times New Roman"/>
                <w:i w:val="0"/>
                <w:iCs w:val="0"/>
                <w:color w:val="auto"/>
                <w:sz w:val="18"/>
                <w:szCs w:val="18"/>
                <w:highlight w:val="green"/>
                <w:lang w:eastAsia="en-GB"/>
              </w:rPr>
              <w:t>For inter-band carrier aggregation with uplink assigned to two NR bands</w:t>
            </w:r>
            <w:r>
              <w:rPr>
                <w:rFonts w:ascii="Times New Roman" w:hAnsi="Times New Roman" w:eastAsia="Times New Roman" w:cs="Times New Roman"/>
                <w:i w:val="0"/>
                <w:iCs w:val="0"/>
                <w:color w:val="auto"/>
                <w:sz w:val="18"/>
                <w:szCs w:val="18"/>
                <w:lang w:eastAsia="en-GB"/>
              </w:rPr>
              <w:t>, UE maximum output power shall be measured over all component carriers from different bands</w:t>
            </w:r>
            <w:r>
              <w:rPr>
                <w:rFonts w:hint="eastAsia" w:ascii="Times New Roman" w:hAnsi="Times New Roman" w:eastAsia="宋体" w:cs="Times New Roman"/>
                <w:i w:val="0"/>
                <w:iCs w:val="0"/>
                <w:color w:val="auto"/>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hint="eastAsia" w:eastAsia="宋体" w:cs="Times New Roman"/>
                <w:b w:val="0"/>
                <w:bCs w:val="0"/>
                <w:color w:val="auto"/>
                <w:sz w:val="18"/>
                <w:szCs w:val="18"/>
                <w:highlight w:val="none"/>
                <w:vertAlign w:val="baseline"/>
                <w:lang w:val="en-US" w:eastAsia="zh-CN"/>
              </w:rPr>
            </w:pPr>
            <w:bookmarkStart w:id="3" w:name="_Toc61356771"/>
            <w:bookmarkStart w:id="4" w:name="_Toc45887269"/>
            <w:bookmarkStart w:id="5" w:name="_Toc21342917"/>
            <w:bookmarkStart w:id="6" w:name="_Toc29799377"/>
            <w:bookmarkStart w:id="7" w:name="_Toc67913640"/>
            <w:bookmarkStart w:id="8" w:name="_Toc29769878"/>
            <w:bookmarkStart w:id="9" w:name="_Toc37255244"/>
            <w:bookmarkStart w:id="10" w:name="_Toc37254601"/>
            <w:bookmarkStart w:id="11" w:name="_Toc75469456"/>
            <w:bookmarkStart w:id="12" w:name="_Toc53172006"/>
            <w:r>
              <w:rPr>
                <w:rFonts w:ascii="Times New Roman" w:hAnsi="Times New Roman" w:eastAsia="MS Mincho" w:cs="Times New Roman"/>
                <w:color w:val="auto"/>
                <w:sz w:val="18"/>
                <w:szCs w:val="18"/>
                <w:lang w:val="en-GB" w:eastAsia="en-GB" w:bidi="ar-SA"/>
              </w:rPr>
              <w:t>6.2A.2.3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UE maximum output power reduction for Inter-band CA</w:t>
            </w:r>
            <w:bookmarkEnd w:id="3"/>
            <w:bookmarkEnd w:id="4"/>
            <w:bookmarkEnd w:id="5"/>
            <w:bookmarkEnd w:id="6"/>
            <w:bookmarkEnd w:id="7"/>
            <w:bookmarkEnd w:id="8"/>
            <w:bookmarkEnd w:id="9"/>
            <w:bookmarkEnd w:id="10"/>
            <w:bookmarkEnd w:id="11"/>
            <w:bookmarkEnd w:id="12"/>
          </w:p>
        </w:tc>
        <w:tc>
          <w:tcPr>
            <w:tcW w:w="7225" w:type="dxa"/>
          </w:tcPr>
          <w:p>
            <w:pPr>
              <w:keepNext/>
              <w:keepLines/>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color w:val="auto"/>
                <w:sz w:val="18"/>
                <w:szCs w:val="18"/>
                <w:lang w:eastAsia="en-GB"/>
              </w:rPr>
            </w:pPr>
            <w:r>
              <w:rPr>
                <w:rFonts w:ascii="Times New Roman" w:hAnsi="Times New Roman" w:eastAsia="Times New Roman" w:cs="Times New Roman"/>
                <w:color w:val="auto"/>
                <w:sz w:val="18"/>
                <w:szCs w:val="18"/>
                <w:highlight w:val="green"/>
                <w:lang w:eastAsia="en-GB"/>
              </w:rPr>
              <w:t>For inter-band carrier aggregation with uplink assigned to two NR bands</w:t>
            </w:r>
            <w:r>
              <w:rPr>
                <w:rFonts w:ascii="Times New Roman" w:hAnsi="Times New Roman" w:eastAsia="Times New Roman" w:cs="Times New Roman"/>
                <w:color w:val="auto"/>
                <w:sz w:val="18"/>
                <w:szCs w:val="18"/>
                <w:lang w:eastAsia="en-GB"/>
              </w:rPr>
              <w:t>, the requirements in clause 6.2.2 apply for each uplink component carrier.</w:t>
            </w:r>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6"/>
              <w:keepNext/>
              <w:keepLines/>
              <w:pageBreakBefore w:val="0"/>
              <w:widowControl/>
              <w:numPr>
                <w:ilvl w:val="4"/>
                <w:numId w:val="0"/>
              </w:numPr>
              <w:tabs>
                <w:tab w:val="clear" w:pos="1008"/>
              </w:tabs>
              <w:kinsoku/>
              <w:wordWrap/>
              <w:topLinePunct w:val="0"/>
              <w:bidi w:val="0"/>
              <w:snapToGrid/>
              <w:ind w:leftChars="0"/>
              <w:rPr>
                <w:rFonts w:hint="eastAsia" w:eastAsia="宋体" w:cs="Times New Roman"/>
                <w:b w:val="0"/>
                <w:bCs w:val="0"/>
                <w:color w:val="auto"/>
                <w:sz w:val="18"/>
                <w:szCs w:val="18"/>
                <w:highlight w:val="none"/>
                <w:vertAlign w:val="baseline"/>
                <w:lang w:val="en-US" w:eastAsia="zh-CN"/>
              </w:rPr>
            </w:pPr>
            <w:bookmarkStart w:id="13" w:name="_Toc29769882"/>
            <w:bookmarkStart w:id="14" w:name="_Toc37254605"/>
            <w:bookmarkStart w:id="15" w:name="_Toc61356775"/>
            <w:bookmarkStart w:id="16" w:name="_Toc53172010"/>
            <w:bookmarkStart w:id="17" w:name="_Toc75469460"/>
            <w:bookmarkStart w:id="18" w:name="_Toc21342921"/>
            <w:bookmarkStart w:id="19" w:name="_Toc45887273"/>
            <w:bookmarkStart w:id="20" w:name="_Toc29799381"/>
            <w:bookmarkStart w:id="21" w:name="_Toc67913644"/>
            <w:bookmarkStart w:id="22" w:name="_Toc37255248"/>
            <w:r>
              <w:rPr>
                <w:rFonts w:ascii="Times New Roman" w:hAnsi="Times New Roman" w:eastAsia="MS Mincho" w:cs="Times New Roman"/>
                <w:color w:val="auto"/>
                <w:sz w:val="18"/>
                <w:szCs w:val="18"/>
                <w:lang w:val="en-GB" w:eastAsia="en-GB" w:bidi="ar-SA"/>
              </w:rPr>
              <w:t>6.2A.3.1.3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UE additional maximum output power reduction for Inter-band CA</w:t>
            </w:r>
            <w:bookmarkEnd w:id="13"/>
            <w:bookmarkEnd w:id="14"/>
            <w:bookmarkEnd w:id="15"/>
            <w:bookmarkEnd w:id="16"/>
            <w:bookmarkEnd w:id="17"/>
            <w:bookmarkEnd w:id="18"/>
            <w:bookmarkEnd w:id="19"/>
            <w:bookmarkEnd w:id="20"/>
            <w:bookmarkEnd w:id="21"/>
            <w:bookmarkEnd w:id="22"/>
          </w:p>
        </w:tc>
        <w:tc>
          <w:tcPr>
            <w:tcW w:w="7225" w:type="dxa"/>
          </w:tcPr>
          <w:p>
            <w:pPr>
              <w:keepNext/>
              <w:keepLines/>
              <w:pageBreakBefore w:val="0"/>
              <w:widowControl/>
              <w:kinsoku/>
              <w:wordWrap/>
              <w:topLinePunct w:val="0"/>
              <w:bidi w:val="0"/>
              <w:snapToGrid/>
              <w:rPr>
                <w:rFonts w:hint="eastAsia" w:eastAsia="宋体" w:cs="Times New Roman"/>
                <w:b w:val="0"/>
                <w:bCs w:val="0"/>
                <w:color w:val="auto"/>
                <w:sz w:val="18"/>
                <w:szCs w:val="18"/>
                <w:highlight w:val="none"/>
                <w:vertAlign w:val="baseline"/>
                <w:lang w:val="en-US" w:eastAsia="zh-CN"/>
              </w:rPr>
            </w:pPr>
            <w:r>
              <w:rPr>
                <w:color w:val="auto"/>
                <w:sz w:val="18"/>
                <w:szCs w:val="18"/>
              </w:rPr>
              <w:t xml:space="preserve">Unless otherwise stated, </w:t>
            </w:r>
            <w:r>
              <w:rPr>
                <w:color w:val="auto"/>
                <w:sz w:val="18"/>
                <w:szCs w:val="18"/>
                <w:highlight w:val="green"/>
              </w:rPr>
              <w:t>for inter-band carrier aggregation with uplink assigned to two NR band</w:t>
            </w:r>
            <w:r>
              <w:rPr>
                <w:color w:val="auto"/>
                <w:sz w:val="18"/>
                <w:szCs w:val="18"/>
                <w:highlight w:val="yellow"/>
              </w:rPr>
              <w:t>,</w:t>
            </w:r>
            <w:r>
              <w:rPr>
                <w:color w:val="auto"/>
                <w:sz w:val="18"/>
                <w:szCs w:val="18"/>
              </w:rPr>
              <w:t xml:space="preserve"> the requirements in clause 6.2.3 apply for each uplink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3"/>
              <w:keepNext/>
              <w:keepLines/>
              <w:pageBreakBefore w:val="0"/>
              <w:widowControl/>
              <w:numPr>
                <w:ilvl w:val="1"/>
                <w:numId w:val="0"/>
              </w:numPr>
              <w:tabs>
                <w:tab w:val="clear" w:pos="0"/>
              </w:tabs>
              <w:kinsoku/>
              <w:wordWrap/>
              <w:topLinePunct w:val="0"/>
              <w:bidi w:val="0"/>
              <w:snapToGrid/>
              <w:ind w:leftChars="0"/>
              <w:rPr>
                <w:rFonts w:ascii="Times New Roman" w:hAnsi="Times New Roman" w:eastAsia="MS Mincho" w:cs="Times New Roman"/>
                <w:color w:val="auto"/>
                <w:sz w:val="18"/>
                <w:szCs w:val="18"/>
                <w:lang w:val="en-GB" w:eastAsia="en-GB" w:bidi="ar-SA"/>
              </w:rPr>
            </w:pPr>
            <w:bookmarkStart w:id="23" w:name="_Toc45887310"/>
            <w:bookmarkStart w:id="24" w:name="_Toc67913681"/>
            <w:bookmarkStart w:id="25" w:name="_Toc37255285"/>
            <w:bookmarkStart w:id="26" w:name="_Toc61356812"/>
            <w:bookmarkStart w:id="27" w:name="_Toc29769919"/>
            <w:bookmarkStart w:id="28" w:name="_Toc37254642"/>
            <w:bookmarkStart w:id="29" w:name="_Toc21342958"/>
            <w:bookmarkStart w:id="30" w:name="_Toc75469497"/>
            <w:bookmarkStart w:id="31" w:name="_Toc53172047"/>
            <w:bookmarkStart w:id="32" w:name="_Toc29799418"/>
            <w:r>
              <w:rPr>
                <w:rFonts w:ascii="Times New Roman" w:hAnsi="Times New Roman" w:eastAsia="MS Mincho" w:cs="Times New Roman"/>
                <w:color w:val="auto"/>
                <w:sz w:val="18"/>
                <w:szCs w:val="18"/>
                <w:lang w:val="en-GB" w:eastAsia="en-GB" w:bidi="ar-SA"/>
              </w:rPr>
              <w:t>6.3A</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Output power dynamics for CA</w:t>
            </w:r>
            <w:bookmarkEnd w:id="23"/>
            <w:bookmarkEnd w:id="24"/>
            <w:bookmarkEnd w:id="25"/>
            <w:bookmarkEnd w:id="26"/>
            <w:bookmarkEnd w:id="27"/>
            <w:bookmarkEnd w:id="28"/>
            <w:bookmarkEnd w:id="29"/>
            <w:bookmarkEnd w:id="30"/>
            <w:bookmarkEnd w:id="31"/>
            <w:bookmarkEnd w:id="32"/>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vertAlign w:val="baseline"/>
                <w:lang w:val="en-US" w:eastAsia="zh-CN"/>
              </w:rPr>
            </w:pPr>
          </w:p>
        </w:tc>
        <w:tc>
          <w:tcPr>
            <w:tcW w:w="7225" w:type="dxa"/>
          </w:tcPr>
          <w:p>
            <w:pPr>
              <w:keepNext/>
              <w:keepLines/>
              <w:pageBreakBefore w:val="0"/>
              <w:widowControl/>
              <w:kinsoku/>
              <w:wordWrap/>
              <w:topLinePunct w:val="0"/>
              <w:bidi w:val="0"/>
              <w:snapToGrid/>
              <w:rPr>
                <w:rFonts w:hint="default" w:ascii="Times New Roman" w:hAnsi="Times New Roman" w:eastAsia="Times New Roman" w:cs="Times New Roman"/>
                <w:color w:val="auto"/>
                <w:sz w:val="18"/>
                <w:szCs w:val="18"/>
                <w:highlight w:val="yellow"/>
                <w:lang w:eastAsia="en-GB"/>
              </w:rPr>
            </w:pPr>
            <w:r>
              <w:rPr>
                <w:rFonts w:hint="default" w:ascii="Times New Roman" w:hAnsi="Times New Roman" w:cs="Times New Roman"/>
                <w:color w:val="auto"/>
                <w:sz w:val="18"/>
                <w:szCs w:val="18"/>
                <w:highlight w:val="yellow"/>
              </w:rPr>
              <w:t>For inter-band carrier aggregation with one uplink carrier assigned to one NR band</w:t>
            </w:r>
            <w:r>
              <w:rPr>
                <w:rFonts w:hint="default" w:ascii="Times New Roman" w:hAnsi="Times New Roman" w:cs="Times New Roman"/>
                <w:color w:val="auto"/>
                <w:sz w:val="18"/>
                <w:szCs w:val="18"/>
              </w:rPr>
              <w:t>, the output power dynamics requirements in clause 6.3 apply.</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Times New Roman" w:cs="Times New Roman"/>
                <w:color w:val="auto"/>
                <w:sz w:val="18"/>
                <w:szCs w:val="18"/>
                <w:highlight w:val="green"/>
                <w:lang w:eastAsia="en-GB"/>
              </w:rPr>
              <w:t>For inter-band carrier aggregation with uplink assigned to two NR bands</w:t>
            </w:r>
            <w:r>
              <w:rPr>
                <w:rFonts w:hint="default" w:ascii="Times New Roman" w:hAnsi="Times New Roman" w:eastAsia="Times New Roman" w:cs="Times New Roman"/>
                <w:color w:val="auto"/>
                <w:sz w:val="18"/>
                <w:szCs w:val="18"/>
                <w:lang w:eastAsia="en-GB"/>
              </w:rPr>
              <w:t>, the minimum output power is defined per carrier and the requirement is specified in clause 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bookmarkStart w:id="33" w:name="_Toc37254650"/>
            <w:bookmarkStart w:id="34" w:name="_Toc61356820"/>
            <w:bookmarkStart w:id="35" w:name="_Toc29799426"/>
            <w:bookmarkStart w:id="36" w:name="_Toc21342966"/>
            <w:bookmarkStart w:id="37" w:name="_Toc29769927"/>
            <w:bookmarkStart w:id="38" w:name="_Toc45887318"/>
            <w:bookmarkStart w:id="39" w:name="_Toc67913689"/>
            <w:bookmarkStart w:id="40" w:name="_Toc75469505"/>
            <w:bookmarkStart w:id="41" w:name="_Toc37255293"/>
            <w:bookmarkStart w:id="42" w:name="_Toc53172055"/>
            <w:r>
              <w:rPr>
                <w:rFonts w:ascii="Times New Roman" w:hAnsi="Times New Roman" w:eastAsia="MS Mincho" w:cs="Times New Roman"/>
                <w:color w:val="auto"/>
                <w:sz w:val="18"/>
                <w:szCs w:val="18"/>
                <w:lang w:val="en-GB" w:eastAsia="en-GB" w:bidi="ar-SA"/>
              </w:rPr>
              <w:t>6.3A.2.3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Transmit OFF power for inter-band CA</w:t>
            </w:r>
            <w:bookmarkEnd w:id="33"/>
            <w:bookmarkEnd w:id="34"/>
            <w:bookmarkEnd w:id="35"/>
            <w:bookmarkEnd w:id="36"/>
            <w:bookmarkEnd w:id="37"/>
            <w:bookmarkEnd w:id="38"/>
            <w:bookmarkEnd w:id="39"/>
            <w:bookmarkEnd w:id="40"/>
            <w:bookmarkEnd w:id="41"/>
            <w:bookmarkEnd w:id="42"/>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vertAlign w:val="baseline"/>
                <w:lang w:val="en-US" w:eastAsia="zh-CN"/>
              </w:rPr>
            </w:pPr>
          </w:p>
        </w:tc>
        <w:tc>
          <w:tcPr>
            <w:tcW w:w="7225" w:type="dxa"/>
          </w:tcPr>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Times New Roman" w:cs="Times New Roman"/>
                <w:color w:val="auto"/>
                <w:sz w:val="18"/>
                <w:szCs w:val="18"/>
                <w:lang w:val="en-US" w:eastAsia="zh-CN"/>
              </w:rPr>
            </w:pPr>
            <w:r>
              <w:rPr>
                <w:rFonts w:hint="default" w:ascii="Times New Roman" w:hAnsi="Times New Roman" w:eastAsia="Times New Roman" w:cs="Times New Roman"/>
                <w:color w:val="auto"/>
                <w:sz w:val="18"/>
                <w:szCs w:val="18"/>
                <w:highlight w:val="green"/>
                <w:lang w:eastAsia="en-GB"/>
              </w:rPr>
              <w:t>For inter-band carrier aggregation with uplink assigned to two NR bands</w:t>
            </w:r>
            <w:r>
              <w:rPr>
                <w:rFonts w:hint="default" w:ascii="Times New Roman" w:hAnsi="Times New Roman" w:eastAsia="Times New Roman" w:cs="Times New Roman"/>
                <w:color w:val="auto"/>
                <w:sz w:val="18"/>
                <w:szCs w:val="18"/>
                <w:lang w:eastAsia="en-GB"/>
              </w:rPr>
              <w:t>, the transmit OFF power specified in clause 6.3.2.1 is applicable for each component carrier when the transmitter is OFF on all component carriers. The transmitter is considered to be OFF when the UE is not allowed to transmit on any of its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bookmarkStart w:id="43" w:name="_Toc45887322"/>
            <w:bookmarkStart w:id="44" w:name="_Toc37255297"/>
            <w:bookmarkStart w:id="45" w:name="_Toc29799430"/>
            <w:bookmarkStart w:id="46" w:name="_Toc61356824"/>
            <w:bookmarkStart w:id="47" w:name="_Toc75469509"/>
            <w:bookmarkStart w:id="48" w:name="_Toc67913693"/>
            <w:bookmarkStart w:id="49" w:name="_Toc21342970"/>
            <w:bookmarkStart w:id="50" w:name="_Toc37254654"/>
            <w:bookmarkStart w:id="51" w:name="_Toc29769931"/>
            <w:bookmarkStart w:id="52" w:name="_Toc53172059"/>
            <w:r>
              <w:rPr>
                <w:rFonts w:ascii="Times New Roman" w:hAnsi="Times New Roman" w:eastAsia="MS Mincho" w:cs="Times New Roman"/>
                <w:color w:val="auto"/>
                <w:sz w:val="18"/>
                <w:szCs w:val="18"/>
                <w:lang w:val="en-GB" w:eastAsia="en-GB" w:bidi="ar-SA"/>
              </w:rPr>
              <w:t>6.3A.3.3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Transmit ON/OFF time mask for inter-band CA</w:t>
            </w:r>
            <w:bookmarkEnd w:id="43"/>
            <w:bookmarkEnd w:id="44"/>
            <w:bookmarkEnd w:id="45"/>
            <w:bookmarkEnd w:id="46"/>
            <w:bookmarkEnd w:id="47"/>
            <w:bookmarkEnd w:id="48"/>
            <w:bookmarkEnd w:id="49"/>
            <w:bookmarkEnd w:id="50"/>
            <w:bookmarkEnd w:id="51"/>
            <w:bookmarkEnd w:id="52"/>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vertAlign w:val="baseline"/>
                <w:lang w:val="en-US" w:eastAsia="zh-CN"/>
              </w:rPr>
            </w:pPr>
          </w:p>
        </w:tc>
        <w:tc>
          <w:tcPr>
            <w:tcW w:w="7225" w:type="dxa"/>
          </w:tcPr>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Times New Roman" w:cs="Times New Roman"/>
                <w:color w:val="auto"/>
                <w:sz w:val="18"/>
                <w:szCs w:val="18"/>
                <w:lang w:val="en-US" w:eastAsia="zh-CN"/>
              </w:rPr>
            </w:pPr>
            <w:r>
              <w:rPr>
                <w:rFonts w:hint="default" w:ascii="Times New Roman" w:hAnsi="Times New Roman" w:eastAsia="Times New Roman" w:cs="Times New Roman"/>
                <w:color w:val="auto"/>
                <w:sz w:val="18"/>
                <w:szCs w:val="18"/>
                <w:highlight w:val="green"/>
                <w:lang w:eastAsia="en-GB"/>
              </w:rPr>
              <w:t>For inter-band carrier aggregation with uplink assigned to two NR bands</w:t>
            </w:r>
            <w:r>
              <w:rPr>
                <w:rFonts w:hint="default" w:ascii="Times New Roman" w:hAnsi="Times New Roman" w:eastAsia="Times New Roman" w:cs="Times New Roman"/>
                <w:color w:val="auto"/>
                <w:sz w:val="18"/>
                <w:szCs w:val="18"/>
                <w:lang w:eastAsia="en-GB"/>
              </w:rPr>
              <w:t>,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hint="eastAsia" w:ascii="Times New Roman" w:hAnsi="Times New Roman" w:eastAsia="MS Mincho" w:cs="Times New Roman"/>
                <w:color w:val="auto"/>
                <w:sz w:val="18"/>
                <w:szCs w:val="18"/>
                <w:lang w:val="en-US" w:eastAsia="zh-CN" w:bidi="ar-SA"/>
              </w:rPr>
            </w:pPr>
            <w:bookmarkStart w:id="53" w:name="_Toc21342992"/>
            <w:bookmarkStart w:id="54" w:name="_Toc61356846"/>
            <w:bookmarkStart w:id="55" w:name="_Toc53172081"/>
            <w:bookmarkStart w:id="56" w:name="_Toc29769953"/>
            <w:bookmarkStart w:id="57" w:name="_Toc75469531"/>
            <w:bookmarkStart w:id="58" w:name="_Toc37255319"/>
            <w:bookmarkStart w:id="59" w:name="_Toc29799452"/>
            <w:bookmarkStart w:id="60" w:name="_Toc67913715"/>
            <w:bookmarkStart w:id="61" w:name="_Toc45887344"/>
            <w:bookmarkStart w:id="62" w:name="_Toc37254676"/>
            <w:r>
              <w:rPr>
                <w:rFonts w:ascii="Times New Roman" w:hAnsi="Times New Roman" w:eastAsia="MS Mincho" w:cs="Times New Roman"/>
                <w:color w:val="auto"/>
                <w:sz w:val="18"/>
                <w:szCs w:val="18"/>
                <w:lang w:val="en-GB" w:eastAsia="en-GB" w:bidi="ar-SA"/>
              </w:rPr>
              <w:t>6.4A.1.3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Frequency error for inter-band CA</w:t>
            </w:r>
            <w:bookmarkEnd w:id="53"/>
            <w:bookmarkEnd w:id="54"/>
            <w:bookmarkEnd w:id="55"/>
            <w:bookmarkEnd w:id="56"/>
            <w:bookmarkEnd w:id="57"/>
            <w:bookmarkEnd w:id="58"/>
            <w:bookmarkEnd w:id="59"/>
            <w:bookmarkEnd w:id="60"/>
            <w:bookmarkEnd w:id="61"/>
            <w:bookmarkEnd w:id="62"/>
          </w:p>
        </w:tc>
        <w:tc>
          <w:tcPr>
            <w:tcW w:w="7225" w:type="dxa"/>
          </w:tcPr>
          <w:p>
            <w:pPr>
              <w:keepNext/>
              <w:keepLines/>
              <w:pageBreakBefore w:val="0"/>
              <w:widowControl/>
              <w:kinsoku/>
              <w:wordWrap/>
              <w:topLinePunct w:val="0"/>
              <w:bidi w:val="0"/>
              <w:snapToGrid/>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frequency error requirements defined in clause 6.4.1 shall apply on each component carrier with all component carriers 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bookmarkStart w:id="63" w:name="_Toc53172085"/>
            <w:bookmarkStart w:id="64" w:name="_Toc67913719"/>
            <w:bookmarkStart w:id="65" w:name="_Toc37254680"/>
            <w:bookmarkStart w:id="66" w:name="_Toc75469535"/>
            <w:bookmarkStart w:id="67" w:name="_Toc45887348"/>
            <w:bookmarkStart w:id="68" w:name="_Toc37255323"/>
            <w:bookmarkStart w:id="69" w:name="_Toc29799456"/>
            <w:bookmarkStart w:id="70" w:name="_Toc61356850"/>
            <w:bookmarkStart w:id="71" w:name="_Toc21342996"/>
            <w:bookmarkStart w:id="72" w:name="_Toc29769957"/>
            <w:r>
              <w:rPr>
                <w:rFonts w:ascii="Times New Roman" w:hAnsi="Times New Roman" w:eastAsia="MS Mincho" w:cs="Times New Roman"/>
                <w:color w:val="auto"/>
                <w:sz w:val="18"/>
                <w:szCs w:val="18"/>
                <w:lang w:val="en-GB" w:eastAsia="en-GB" w:bidi="ar-SA"/>
              </w:rPr>
              <w:t>6.4A.2.3</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Transmit modulation quality for inter-band CA</w:t>
            </w:r>
            <w:bookmarkEnd w:id="63"/>
            <w:bookmarkEnd w:id="64"/>
            <w:bookmarkEnd w:id="65"/>
            <w:bookmarkEnd w:id="66"/>
            <w:bookmarkEnd w:id="67"/>
            <w:bookmarkEnd w:id="68"/>
            <w:bookmarkEnd w:id="69"/>
            <w:bookmarkEnd w:id="70"/>
            <w:bookmarkEnd w:id="71"/>
            <w:bookmarkEnd w:id="72"/>
          </w:p>
          <w:p>
            <w:pPr>
              <w:pStyle w:val="5"/>
              <w:keepNext/>
              <w:keepLines/>
              <w:pageBreakBefore w:val="0"/>
              <w:widowControl/>
              <w:numPr>
                <w:ilvl w:val="3"/>
                <w:numId w:val="0"/>
              </w:numPr>
              <w:tabs>
                <w:tab w:val="clear" w:pos="864"/>
              </w:tabs>
              <w:kinsoku/>
              <w:wordWrap/>
              <w:topLinePunct w:val="0"/>
              <w:bidi w:val="0"/>
              <w:snapToGrid/>
              <w:ind w:leftChars="0"/>
              <w:rPr>
                <w:rFonts w:hint="eastAsia" w:ascii="Times New Roman" w:hAnsi="Times New Roman" w:eastAsia="MS Mincho" w:cs="Times New Roman"/>
                <w:color w:val="auto"/>
                <w:sz w:val="18"/>
                <w:szCs w:val="18"/>
                <w:lang w:val="en-US" w:eastAsia="zh-CN" w:bidi="ar-SA"/>
              </w:rPr>
            </w:pPr>
          </w:p>
        </w:tc>
        <w:tc>
          <w:tcPr>
            <w:tcW w:w="7225" w:type="dxa"/>
          </w:tcPr>
          <w:p>
            <w:pPr>
              <w:keepNext/>
              <w:keepLines/>
              <w:pageBreakBefore w:val="0"/>
              <w:widowControl/>
              <w:kinsoku/>
              <w:wordWrap/>
              <w:topLinePunct w:val="0"/>
              <w:bidi w:val="0"/>
              <w:snapToGrid/>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transmit modulation quality requirements shall apply on each component carrier as defined in clause 6.4.2 with all component carriers active:</w:t>
            </w:r>
            <w:r>
              <w:rPr>
                <w:rFonts w:hint="default" w:ascii="Times New Roman" w:hAnsi="Times New Roman" w:cs="Times New Roman"/>
                <w:color w:val="auto"/>
                <w:sz w:val="18"/>
                <w:szCs w:val="18"/>
                <w:lang w:eastAsia="zh-CN"/>
              </w:rPr>
              <w:t xml:space="preserve"> PCC with PRB allocation and SCC without PRB allocation and without CSI reporting and SRS configured</w:t>
            </w:r>
            <w:r>
              <w:rPr>
                <w:rFonts w:hint="default" w:ascii="Times New Roman" w:hAnsi="Times New Roman"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2" w:type="dxa"/>
          </w:tcPr>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bookmarkStart w:id="73" w:name="_Toc53172132"/>
            <w:bookmarkStart w:id="74" w:name="_Toc75469582"/>
            <w:bookmarkStart w:id="75" w:name="_Toc29799503"/>
            <w:bookmarkStart w:id="76" w:name="_Toc29770004"/>
            <w:bookmarkStart w:id="77" w:name="_Toc21343038"/>
            <w:bookmarkStart w:id="78" w:name="_Toc37255370"/>
            <w:bookmarkStart w:id="79" w:name="_Toc61356897"/>
            <w:bookmarkStart w:id="80" w:name="_Toc67913766"/>
            <w:bookmarkStart w:id="81" w:name="_Toc37254727"/>
            <w:bookmarkStart w:id="82" w:name="_Toc45887395"/>
            <w:r>
              <w:rPr>
                <w:rFonts w:ascii="Times New Roman" w:hAnsi="Times New Roman" w:eastAsia="MS Mincho" w:cs="Times New Roman"/>
                <w:color w:val="auto"/>
                <w:sz w:val="18"/>
                <w:szCs w:val="18"/>
                <w:lang w:val="en-GB" w:eastAsia="en-GB" w:bidi="ar-SA"/>
              </w:rPr>
              <w:t>6.5A</w:t>
            </w:r>
            <w:r>
              <w:rPr>
                <w:rFonts w:ascii="Times New Roman" w:hAnsi="Times New Roman" w:eastAsia="MS Mincho" w:cs="Times New Roman"/>
                <w:color w:val="auto"/>
                <w:sz w:val="18"/>
                <w:szCs w:val="18"/>
                <w:lang w:val="en-GB" w:eastAsia="en-GB" w:bidi="ar-SA"/>
              </w:rPr>
              <w:tab/>
            </w:r>
            <w:r>
              <w:rPr>
                <w:rFonts w:ascii="Times New Roman" w:hAnsi="Times New Roman" w:eastAsia="MS Mincho" w:cs="Times New Roman"/>
                <w:color w:val="auto"/>
                <w:sz w:val="18"/>
                <w:szCs w:val="18"/>
                <w:lang w:val="en-GB" w:eastAsia="en-GB" w:bidi="ar-SA"/>
              </w:rPr>
              <w:t>Output RF spectrum emissions for CA</w:t>
            </w:r>
            <w:bookmarkEnd w:id="73"/>
            <w:bookmarkEnd w:id="74"/>
            <w:bookmarkEnd w:id="75"/>
            <w:bookmarkEnd w:id="76"/>
            <w:bookmarkEnd w:id="77"/>
            <w:bookmarkEnd w:id="78"/>
            <w:bookmarkEnd w:id="79"/>
            <w:bookmarkEnd w:id="80"/>
            <w:bookmarkEnd w:id="81"/>
            <w:bookmarkEnd w:id="82"/>
          </w:p>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p>
          <w:p>
            <w:pPr>
              <w:pStyle w:val="5"/>
              <w:keepNext/>
              <w:keepLines/>
              <w:pageBreakBefore w:val="0"/>
              <w:widowControl/>
              <w:numPr>
                <w:ilvl w:val="3"/>
                <w:numId w:val="0"/>
              </w:numPr>
              <w:tabs>
                <w:tab w:val="clear" w:pos="864"/>
              </w:tabs>
              <w:kinsoku/>
              <w:wordWrap/>
              <w:topLinePunct w:val="0"/>
              <w:bidi w:val="0"/>
              <w:snapToGrid/>
              <w:ind w:leftChars="0"/>
              <w:rPr>
                <w:rFonts w:ascii="Times New Roman" w:hAnsi="Times New Roman" w:eastAsia="MS Mincho" w:cs="Times New Roman"/>
                <w:color w:val="auto"/>
                <w:sz w:val="18"/>
                <w:szCs w:val="18"/>
                <w:lang w:val="en-GB" w:eastAsia="en-GB" w:bidi="ar-SA"/>
              </w:rPr>
            </w:pPr>
          </w:p>
          <w:p>
            <w:pPr>
              <w:pStyle w:val="5"/>
              <w:keepNext/>
              <w:keepLines/>
              <w:pageBreakBefore w:val="0"/>
              <w:widowControl/>
              <w:numPr>
                <w:ilvl w:val="3"/>
                <w:numId w:val="0"/>
              </w:numPr>
              <w:tabs>
                <w:tab w:val="clear" w:pos="864"/>
              </w:tabs>
              <w:kinsoku/>
              <w:wordWrap/>
              <w:topLinePunct w:val="0"/>
              <w:bidi w:val="0"/>
              <w:snapToGrid/>
              <w:ind w:leftChars="0"/>
              <w:rPr>
                <w:rFonts w:hint="eastAsia" w:ascii="Times New Roman" w:hAnsi="Times New Roman" w:eastAsia="MS Mincho" w:cs="Times New Roman"/>
                <w:color w:val="auto"/>
                <w:sz w:val="18"/>
                <w:szCs w:val="18"/>
                <w:lang w:val="en-US" w:eastAsia="zh-CN" w:bidi="ar-SA"/>
              </w:rPr>
            </w:pPr>
          </w:p>
        </w:tc>
        <w:tc>
          <w:tcPr>
            <w:tcW w:w="7225" w:type="dxa"/>
          </w:tcPr>
          <w:p>
            <w:pPr>
              <w:keepNext/>
              <w:keepLines/>
              <w:pageBreakBefore w:val="0"/>
              <w:widowControl/>
              <w:kinsoku/>
              <w:wordWrap/>
              <w:topLinePunct w:val="0"/>
              <w:bidi w:val="0"/>
              <w:snapToGrid/>
              <w:rPr>
                <w:rFonts w:hint="default" w:ascii="Times New Roman" w:hAnsi="Times New Roman" w:cs="Times New Roman"/>
                <w:color w:val="auto"/>
                <w:sz w:val="18"/>
                <w:szCs w:val="18"/>
              </w:rPr>
            </w:pPr>
            <w:r>
              <w:rPr>
                <w:rFonts w:hint="default" w:ascii="Times New Roman" w:hAnsi="Times New Roman" w:cs="Times New Roman"/>
                <w:color w:val="auto"/>
                <w:sz w:val="18"/>
                <w:szCs w:val="18"/>
                <w:highlight w:val="yellow"/>
              </w:rPr>
              <w:t>For inter-band carrier aggregation with one uplink carrier assigned to one NR band</w:t>
            </w:r>
            <w:r>
              <w:rPr>
                <w:rFonts w:hint="default" w:ascii="Times New Roman" w:hAnsi="Times New Roman" w:cs="Times New Roman"/>
                <w:color w:val="auto"/>
                <w:sz w:val="18"/>
                <w:szCs w:val="18"/>
              </w:rPr>
              <w:t>, the output RF spectrum emissions requirements in clause 6.5 apply.</w:t>
            </w:r>
          </w:p>
          <w:p>
            <w:pPr>
              <w:pStyle w:val="5"/>
              <w:keepNext/>
              <w:keepLines/>
              <w:pageBreakBefore w:val="0"/>
              <w:widowControl/>
              <w:numPr>
                <w:ilvl w:val="3"/>
                <w:numId w:val="0"/>
              </w:numPr>
              <w:tabs>
                <w:tab w:val="clear" w:pos="864"/>
              </w:tabs>
              <w:kinsoku/>
              <w:wordWrap/>
              <w:topLinePunct w:val="0"/>
              <w:bidi w:val="0"/>
              <w:snapToGrid/>
              <w:ind w:leftChars="0"/>
              <w:rPr>
                <w:rFonts w:hint="default" w:ascii="Times New Roman" w:hAnsi="Times New Roman" w:cs="Times New Roman"/>
                <w:color w:val="auto"/>
                <w:sz w:val="18"/>
                <w:szCs w:val="18"/>
              </w:rPr>
            </w:pPr>
            <w:bookmarkStart w:id="83" w:name="_Toc21343042"/>
            <w:bookmarkStart w:id="84" w:name="_Toc67913770"/>
            <w:bookmarkStart w:id="85" w:name="_Toc61356901"/>
            <w:bookmarkStart w:id="86" w:name="_Toc29770008"/>
            <w:bookmarkStart w:id="87" w:name="_Toc45887399"/>
            <w:bookmarkStart w:id="88" w:name="_Toc37254731"/>
            <w:bookmarkStart w:id="89" w:name="_Toc53172136"/>
            <w:bookmarkStart w:id="90" w:name="_Toc75469586"/>
            <w:bookmarkStart w:id="91" w:name="_Toc37255374"/>
            <w:bookmarkStart w:id="92" w:name="_Toc29799507"/>
            <w:r>
              <w:rPr>
                <w:rFonts w:hint="default" w:ascii="Times New Roman" w:hAnsi="Times New Roman" w:cs="Times New Roman"/>
                <w:color w:val="auto"/>
                <w:sz w:val="18"/>
                <w:szCs w:val="18"/>
              </w:rPr>
              <w:t>6.5A.1.3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Occupied bandwidth for Inter-band CA</w:t>
            </w:r>
            <w:bookmarkEnd w:id="83"/>
            <w:bookmarkEnd w:id="84"/>
            <w:bookmarkEnd w:id="85"/>
            <w:bookmarkEnd w:id="86"/>
            <w:bookmarkEnd w:id="87"/>
            <w:bookmarkEnd w:id="88"/>
            <w:bookmarkEnd w:id="89"/>
            <w:bookmarkEnd w:id="90"/>
            <w:bookmarkEnd w:id="91"/>
            <w:bookmarkEnd w:id="92"/>
          </w:p>
          <w:p>
            <w:pPr>
              <w:keepNext/>
              <w:keepLines/>
              <w:pageBreakBefore w:val="0"/>
              <w:widowControl/>
              <w:kinsoku/>
              <w:wordWrap/>
              <w:topLinePunct w:val="0"/>
              <w:bidi w:val="0"/>
              <w:snapToGrid/>
              <w:rPr>
                <w:rFonts w:hint="default" w:ascii="Times New Roman" w:hAnsi="Times New Roman" w:cs="Times New Roman"/>
                <w:color w:val="auto"/>
                <w:sz w:val="18"/>
                <w:szCs w:val="18"/>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occupied bandwidth is defined per component carrier.</w:t>
            </w:r>
            <w:r>
              <w:rPr>
                <w:rFonts w:hint="default" w:ascii="Times New Roman" w:hAnsi="Times New Roman" w:eastAsia="宋体" w:cs="Times New Roman"/>
                <w:color w:val="auto"/>
                <w:sz w:val="18"/>
                <w:szCs w:val="18"/>
                <w:lang w:val="en-US" w:eastAsia="zh-CN"/>
              </w:rPr>
              <w:t>...</w:t>
            </w:r>
          </w:p>
          <w:p>
            <w:pPr>
              <w:pStyle w:val="6"/>
              <w:keepNext/>
              <w:keepLines/>
              <w:pageBreakBefore w:val="0"/>
              <w:widowControl/>
              <w:numPr>
                <w:ilvl w:val="4"/>
                <w:numId w:val="0"/>
              </w:numPr>
              <w:tabs>
                <w:tab w:val="clear" w:pos="1008"/>
              </w:tabs>
              <w:kinsoku/>
              <w:wordWrap/>
              <w:topLinePunct w:val="0"/>
              <w:bidi w:val="0"/>
              <w:snapToGrid/>
              <w:ind w:leftChars="0"/>
              <w:rPr>
                <w:rFonts w:hint="default" w:ascii="Times New Roman" w:hAnsi="Times New Roman" w:cs="Times New Roman"/>
                <w:color w:val="auto"/>
                <w:sz w:val="18"/>
                <w:szCs w:val="18"/>
              </w:rPr>
            </w:pPr>
            <w:bookmarkStart w:id="93" w:name="_Toc61356907"/>
            <w:bookmarkStart w:id="94" w:name="_Toc67913776"/>
            <w:bookmarkStart w:id="95" w:name="_Toc53172142"/>
            <w:bookmarkStart w:id="96" w:name="_Toc29799513"/>
            <w:bookmarkStart w:id="97" w:name="_Toc75469592"/>
            <w:bookmarkStart w:id="98" w:name="_Toc45887405"/>
            <w:bookmarkStart w:id="99" w:name="_Toc37254737"/>
            <w:bookmarkStart w:id="100" w:name="_Toc29770014"/>
            <w:bookmarkStart w:id="101" w:name="_Toc21343048"/>
            <w:bookmarkStart w:id="102" w:name="_Toc37255380"/>
            <w:r>
              <w:rPr>
                <w:rFonts w:hint="default" w:ascii="Times New Roman" w:hAnsi="Times New Roman" w:cs="Times New Roman"/>
                <w:color w:val="auto"/>
                <w:sz w:val="18"/>
                <w:szCs w:val="18"/>
              </w:rPr>
              <w:t>6.5A.2.2.3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Spectrum emission mask for Inter-band CA</w:t>
            </w:r>
            <w:bookmarkEnd w:id="93"/>
            <w:bookmarkEnd w:id="94"/>
            <w:bookmarkEnd w:id="95"/>
            <w:bookmarkEnd w:id="96"/>
            <w:bookmarkEnd w:id="97"/>
            <w:bookmarkEnd w:id="98"/>
            <w:bookmarkEnd w:id="99"/>
            <w:bookmarkEnd w:id="100"/>
            <w:bookmarkEnd w:id="101"/>
            <w:bookmarkEnd w:id="102"/>
          </w:p>
          <w:p>
            <w:pPr>
              <w:keepNext/>
              <w:keepLines/>
              <w:pageBreakBefore w:val="0"/>
              <w:widowControl/>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spectrum emission mask of the UE is defined per component carrier while both component carriers are active and the requirements are specified in clauses 6.5.2.1 and 6.5.2.2.</w:t>
            </w:r>
            <w:r>
              <w:rPr>
                <w:rFonts w:hint="default" w:ascii="Times New Roman" w:hAnsi="Times New Roman" w:eastAsia="宋体" w:cs="Times New Roman"/>
                <w:color w:val="auto"/>
                <w:sz w:val="18"/>
                <w:szCs w:val="18"/>
                <w:lang w:val="en-US" w:eastAsia="zh-CN"/>
              </w:rPr>
              <w:t>....</w:t>
            </w:r>
          </w:p>
          <w:p>
            <w:pPr>
              <w:pStyle w:val="7"/>
              <w:keepNext/>
              <w:keepLines/>
              <w:pageBreakBefore w:val="0"/>
              <w:widowControl/>
              <w:numPr>
                <w:ilvl w:val="5"/>
                <w:numId w:val="0"/>
              </w:numPr>
              <w:tabs>
                <w:tab w:val="clear" w:pos="1152"/>
              </w:tabs>
              <w:kinsoku/>
              <w:wordWrap/>
              <w:topLinePunct w:val="0"/>
              <w:bidi w:val="0"/>
              <w:snapToGrid/>
              <w:ind w:leftChars="0"/>
              <w:rPr>
                <w:rFonts w:hint="default" w:ascii="Times New Roman" w:hAnsi="Times New Roman" w:cs="Times New Roman"/>
                <w:color w:val="auto"/>
                <w:sz w:val="18"/>
                <w:szCs w:val="18"/>
              </w:rPr>
            </w:pPr>
            <w:bookmarkStart w:id="103" w:name="_Toc67913785"/>
            <w:bookmarkStart w:id="104" w:name="_Toc53172151"/>
            <w:bookmarkStart w:id="105" w:name="_Toc61356916"/>
            <w:bookmarkStart w:id="106" w:name="_Toc37255389"/>
            <w:bookmarkStart w:id="107" w:name="_Toc29770023"/>
            <w:bookmarkStart w:id="108" w:name="_Toc75469601"/>
            <w:bookmarkStart w:id="109" w:name="_Toc37254746"/>
            <w:bookmarkStart w:id="110" w:name="_Toc21343057"/>
            <w:bookmarkStart w:id="111" w:name="_Toc45887414"/>
            <w:bookmarkStart w:id="112" w:name="_Toc29799522"/>
            <w:r>
              <w:rPr>
                <w:rFonts w:hint="default" w:ascii="Times New Roman" w:hAnsi="Times New Roman" w:cs="Times New Roman"/>
                <w:color w:val="auto"/>
                <w:sz w:val="18"/>
                <w:szCs w:val="18"/>
              </w:rPr>
              <w:t>6.5A.2.4.1.3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NR ACLR for Inter-band CA</w:t>
            </w:r>
            <w:bookmarkEnd w:id="103"/>
            <w:bookmarkEnd w:id="104"/>
            <w:bookmarkEnd w:id="105"/>
            <w:bookmarkEnd w:id="106"/>
            <w:bookmarkEnd w:id="107"/>
            <w:bookmarkEnd w:id="108"/>
            <w:bookmarkEnd w:id="109"/>
            <w:bookmarkEnd w:id="110"/>
            <w:bookmarkEnd w:id="111"/>
            <w:bookmarkEnd w:id="112"/>
          </w:p>
          <w:p>
            <w:pPr>
              <w:keepNext/>
              <w:keepLines/>
              <w:pageBreakBefore w:val="0"/>
              <w:widowControl/>
              <w:kinsoku/>
              <w:wordWrap/>
              <w:topLinePunct w:val="0"/>
              <w:bidi w:val="0"/>
              <w:snapToGrid/>
              <w:rPr>
                <w:rFonts w:hint="default" w:ascii="Times New Roman" w:hAnsi="Times New Roman" w:cs="Times New Roman"/>
                <w:color w:val="auto"/>
                <w:sz w:val="18"/>
                <w:szCs w:val="18"/>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NR Adjacent Channel Leakage power Ratio (NRACLR) is defined per component carrier while both component carriers are active and the requirement is specified in clause 6.5.2.4.1.</w:t>
            </w:r>
          </w:p>
          <w:p>
            <w:pPr>
              <w:pStyle w:val="7"/>
              <w:keepNext/>
              <w:keepLines/>
              <w:pageBreakBefore w:val="0"/>
              <w:widowControl/>
              <w:numPr>
                <w:ilvl w:val="5"/>
                <w:numId w:val="0"/>
              </w:numPr>
              <w:tabs>
                <w:tab w:val="clear" w:pos="1152"/>
              </w:tabs>
              <w:kinsoku/>
              <w:wordWrap/>
              <w:topLinePunct w:val="0"/>
              <w:bidi w:val="0"/>
              <w:snapToGrid/>
              <w:ind w:leftChars="0"/>
              <w:rPr>
                <w:rFonts w:hint="default" w:ascii="Times New Roman" w:hAnsi="Times New Roman" w:cs="Times New Roman"/>
                <w:color w:val="auto"/>
                <w:sz w:val="18"/>
                <w:szCs w:val="18"/>
              </w:rPr>
            </w:pPr>
            <w:bookmarkStart w:id="113" w:name="_Toc75469605"/>
            <w:bookmarkStart w:id="114" w:name="_Toc53172155"/>
            <w:bookmarkStart w:id="115" w:name="_Toc37254750"/>
            <w:bookmarkStart w:id="116" w:name="_Toc61356920"/>
            <w:bookmarkStart w:id="117" w:name="_Toc37255393"/>
            <w:bookmarkStart w:id="118" w:name="_Toc29770027"/>
            <w:bookmarkStart w:id="119" w:name="_Toc29799526"/>
            <w:bookmarkStart w:id="120" w:name="_Toc45887418"/>
            <w:bookmarkStart w:id="121" w:name="_Toc21343061"/>
            <w:bookmarkStart w:id="122" w:name="_Toc67913789"/>
            <w:r>
              <w:rPr>
                <w:rFonts w:hint="default" w:ascii="Times New Roman" w:hAnsi="Times New Roman" w:cs="Times New Roman"/>
                <w:color w:val="auto"/>
                <w:sz w:val="18"/>
                <w:szCs w:val="18"/>
              </w:rPr>
              <w:t>6.5A.2.4.2.3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UTRA ACLR for Inter-band CA</w:t>
            </w:r>
            <w:bookmarkEnd w:id="113"/>
            <w:bookmarkEnd w:id="114"/>
            <w:bookmarkEnd w:id="115"/>
            <w:bookmarkEnd w:id="116"/>
            <w:bookmarkEnd w:id="117"/>
            <w:bookmarkEnd w:id="118"/>
            <w:bookmarkEnd w:id="119"/>
            <w:bookmarkEnd w:id="120"/>
            <w:bookmarkEnd w:id="121"/>
            <w:bookmarkEnd w:id="122"/>
          </w:p>
          <w:p>
            <w:pPr>
              <w:keepNext/>
              <w:keepLines/>
              <w:pageBreakBefore w:val="0"/>
              <w:widowControl/>
              <w:kinsoku/>
              <w:wordWrap/>
              <w:topLinePunct w:val="0"/>
              <w:bidi w:val="0"/>
              <w:snapToGrid/>
              <w:rPr>
                <w:rFonts w:hint="default" w:ascii="Times New Roman" w:hAnsi="Times New Roman" w:cs="Times New Roman"/>
                <w:color w:val="auto"/>
                <w:sz w:val="18"/>
                <w:szCs w:val="18"/>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xml:space="preserve"> the UTRA Adjacent Channel Leakage power Ratio (UTRAACLR) is defined per component carrier while both component carrier are active and the requirement is specified in clause 6.5.2.4.2.</w:t>
            </w:r>
          </w:p>
          <w:p>
            <w:pPr>
              <w:pStyle w:val="4"/>
              <w:keepNext/>
              <w:keepLines/>
              <w:pageBreakBefore w:val="0"/>
              <w:widowControl/>
              <w:numPr>
                <w:ilvl w:val="2"/>
                <w:numId w:val="0"/>
              </w:numPr>
              <w:tabs>
                <w:tab w:val="clear" w:pos="0"/>
              </w:tabs>
              <w:kinsoku/>
              <w:wordWrap/>
              <w:topLinePunct w:val="0"/>
              <w:bidi w:val="0"/>
              <w:snapToGrid/>
              <w:ind w:leftChars="0"/>
              <w:rPr>
                <w:rFonts w:hint="default" w:ascii="Times New Roman" w:hAnsi="Times New Roman" w:cs="Times New Roman"/>
                <w:color w:val="auto"/>
                <w:sz w:val="18"/>
                <w:szCs w:val="18"/>
              </w:rPr>
            </w:pPr>
            <w:bookmarkStart w:id="123" w:name="_Toc29770028"/>
            <w:bookmarkStart w:id="124" w:name="_Toc61356921"/>
            <w:bookmarkStart w:id="125" w:name="_Toc37255394"/>
            <w:bookmarkStart w:id="126" w:name="_Toc67913790"/>
            <w:bookmarkStart w:id="127" w:name="_Toc53172156"/>
            <w:bookmarkStart w:id="128" w:name="_Toc75469606"/>
            <w:bookmarkStart w:id="129" w:name="_Toc45887419"/>
            <w:bookmarkStart w:id="130" w:name="_Toc21343062"/>
            <w:bookmarkStart w:id="131" w:name="_Toc37254751"/>
            <w:bookmarkStart w:id="132" w:name="_Toc29799527"/>
            <w:r>
              <w:rPr>
                <w:rFonts w:hint="default" w:ascii="Times New Roman" w:hAnsi="Times New Roman" w:cs="Times New Roman"/>
                <w:color w:val="auto"/>
                <w:sz w:val="18"/>
                <w:szCs w:val="18"/>
              </w:rPr>
              <w:t>6.5A.3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Spurious emission for CA</w:t>
            </w:r>
            <w:bookmarkEnd w:id="123"/>
            <w:bookmarkEnd w:id="124"/>
            <w:bookmarkEnd w:id="125"/>
            <w:bookmarkEnd w:id="126"/>
            <w:bookmarkEnd w:id="127"/>
            <w:bookmarkEnd w:id="128"/>
            <w:bookmarkEnd w:id="129"/>
            <w:bookmarkEnd w:id="130"/>
            <w:bookmarkEnd w:id="131"/>
            <w:bookmarkEnd w:id="132"/>
          </w:p>
          <w:p>
            <w:pPr>
              <w:pStyle w:val="5"/>
              <w:keepNext/>
              <w:keepLines/>
              <w:pageBreakBefore w:val="0"/>
              <w:widowControl/>
              <w:numPr>
                <w:ilvl w:val="3"/>
                <w:numId w:val="0"/>
              </w:numPr>
              <w:tabs>
                <w:tab w:val="clear" w:pos="864"/>
              </w:tabs>
              <w:kinsoku/>
              <w:wordWrap/>
              <w:topLinePunct w:val="0"/>
              <w:bidi w:val="0"/>
              <w:snapToGrid/>
              <w:ind w:leftChars="0"/>
              <w:rPr>
                <w:rFonts w:hint="default" w:ascii="Times New Roman" w:hAnsi="Times New Roman" w:cs="Times New Roman"/>
                <w:color w:val="auto"/>
                <w:sz w:val="18"/>
                <w:szCs w:val="18"/>
              </w:rPr>
            </w:pPr>
            <w:bookmarkStart w:id="133" w:name="_Toc21343063"/>
            <w:bookmarkStart w:id="134" w:name="_Toc61356922"/>
            <w:bookmarkStart w:id="135" w:name="_Toc45887420"/>
            <w:bookmarkStart w:id="136" w:name="_Toc29770029"/>
            <w:bookmarkStart w:id="137" w:name="_Toc29799528"/>
            <w:bookmarkStart w:id="138" w:name="_Toc37255395"/>
            <w:bookmarkStart w:id="139" w:name="_Toc67913791"/>
            <w:bookmarkStart w:id="140" w:name="_Toc75469607"/>
            <w:bookmarkStart w:id="141" w:name="_Toc53172157"/>
            <w:bookmarkStart w:id="142" w:name="_Toc37254752"/>
            <w:r>
              <w:rPr>
                <w:rFonts w:hint="default" w:ascii="Times New Roman" w:hAnsi="Times New Roman" w:cs="Times New Roman"/>
                <w:color w:val="auto"/>
                <w:sz w:val="18"/>
                <w:szCs w:val="18"/>
              </w:rPr>
              <w:t>6.5A.3.1</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General spurious emissions</w:t>
            </w:r>
            <w:bookmarkEnd w:id="133"/>
            <w:bookmarkEnd w:id="134"/>
            <w:bookmarkEnd w:id="135"/>
            <w:bookmarkEnd w:id="136"/>
            <w:bookmarkEnd w:id="137"/>
            <w:bookmarkEnd w:id="138"/>
            <w:bookmarkEnd w:id="139"/>
            <w:bookmarkEnd w:id="140"/>
            <w:bookmarkEnd w:id="141"/>
            <w:bookmarkEnd w:id="142"/>
          </w:p>
          <w:p>
            <w:pPr>
              <w:keepNext/>
              <w:keepLines/>
              <w:pageBreakBefore w:val="0"/>
              <w:widowControl/>
              <w:kinsoku/>
              <w:wordWrap/>
              <w:topLinePunct w:val="0"/>
              <w:bidi w:val="0"/>
              <w:snapToGrid/>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spurious emission requirement Table 6.5.3.1-2 apply for the frequency ranges</w:t>
            </w:r>
            <w:r>
              <w:rPr>
                <w:rFonts w:hint="default" w:ascii="Times New Roman" w:hAnsi="Times New Roman" w:eastAsia="宋体" w:cs="Times New Roman"/>
                <w:color w:val="auto"/>
                <w:sz w:val="18"/>
                <w:szCs w:val="18"/>
                <w:lang w:val="en-US" w:eastAsia="zh-CN"/>
              </w:rPr>
              <w:t>......</w:t>
            </w:r>
          </w:p>
          <w:p>
            <w:pPr>
              <w:pStyle w:val="5"/>
              <w:keepNext/>
              <w:keepLines/>
              <w:pageBreakBefore w:val="0"/>
              <w:widowControl/>
              <w:numPr>
                <w:ilvl w:val="3"/>
                <w:numId w:val="0"/>
              </w:numPr>
              <w:tabs>
                <w:tab w:val="clear" w:pos="864"/>
              </w:tabs>
              <w:kinsoku/>
              <w:wordWrap/>
              <w:topLinePunct w:val="0"/>
              <w:bidi w:val="0"/>
              <w:snapToGrid/>
              <w:ind w:leftChars="0"/>
              <w:rPr>
                <w:rFonts w:hint="default" w:ascii="Times New Roman" w:hAnsi="Times New Roman" w:cs="Times New Roman"/>
                <w:color w:val="auto"/>
                <w:sz w:val="18"/>
                <w:szCs w:val="18"/>
              </w:rPr>
            </w:pPr>
            <w:bookmarkStart w:id="143" w:name="_Toc75469615"/>
            <w:bookmarkStart w:id="144" w:name="_Toc37255403"/>
            <w:bookmarkStart w:id="145" w:name="_Toc45887428"/>
            <w:bookmarkStart w:id="146" w:name="_Toc21343071"/>
            <w:bookmarkStart w:id="147" w:name="_Toc61356930"/>
            <w:bookmarkStart w:id="148" w:name="_Toc29799536"/>
            <w:bookmarkStart w:id="149" w:name="_Toc37254760"/>
            <w:bookmarkStart w:id="150" w:name="_Toc67913799"/>
            <w:bookmarkStart w:id="151" w:name="_Toc53172165"/>
            <w:bookmarkStart w:id="152" w:name="_Toc29770037"/>
            <w:r>
              <w:rPr>
                <w:rFonts w:hint="default" w:ascii="Times New Roman" w:hAnsi="Times New Roman" w:cs="Times New Roman"/>
                <w:color w:val="auto"/>
                <w:sz w:val="18"/>
                <w:szCs w:val="18"/>
              </w:rPr>
              <w:t>6.5A.4.3</w:t>
            </w:r>
            <w:r>
              <w:rPr>
                <w:rFonts w:hint="default" w:ascii="Times New Roman" w:hAnsi="Times New Roman" w:cs="Times New Roman"/>
                <w:color w:val="auto"/>
                <w:sz w:val="18"/>
                <w:szCs w:val="18"/>
              </w:rPr>
              <w:tab/>
            </w:r>
            <w:r>
              <w:rPr>
                <w:rFonts w:hint="default" w:ascii="Times New Roman" w:hAnsi="Times New Roman" w:cs="Times New Roman"/>
                <w:color w:val="auto"/>
                <w:sz w:val="18"/>
                <w:szCs w:val="18"/>
              </w:rPr>
              <w:t>Transmit intermodulation for Inter-band CA</w:t>
            </w:r>
            <w:bookmarkEnd w:id="143"/>
            <w:bookmarkEnd w:id="144"/>
            <w:bookmarkEnd w:id="145"/>
            <w:bookmarkEnd w:id="146"/>
            <w:bookmarkEnd w:id="147"/>
            <w:bookmarkEnd w:id="148"/>
            <w:bookmarkEnd w:id="149"/>
            <w:bookmarkEnd w:id="150"/>
            <w:bookmarkEnd w:id="151"/>
            <w:bookmarkEnd w:id="152"/>
          </w:p>
          <w:p>
            <w:pPr>
              <w:keepNext/>
              <w:keepLines/>
              <w:pageBreakBefore w:val="0"/>
              <w:widowControl/>
              <w:kinsoku/>
              <w:wordWrap/>
              <w:topLinePunct w:val="0"/>
              <w:bidi w:val="0"/>
              <w:snapToGrid/>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green"/>
              </w:rPr>
              <w:t>For inter-band carrier aggregation with uplink assigned to two NR bands</w:t>
            </w:r>
            <w:r>
              <w:rPr>
                <w:rFonts w:hint="default" w:ascii="Times New Roman" w:hAnsi="Times New Roman" w:cs="Times New Roman"/>
                <w:color w:val="auto"/>
                <w:sz w:val="18"/>
                <w:szCs w:val="18"/>
              </w:rPr>
              <w:t>, the transmit intermodulation requirement is specified in Table 6.5.4-1 which shall apply on each component carrier with both component carriers active.</w:t>
            </w:r>
          </w:p>
        </w:tc>
      </w:tr>
    </w:tbl>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For Rel-16 and Rel-17 TS38.101-1 spec, the definitions for these Tx requirements are almost the same as Rel-15 spec.</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color w:val="auto"/>
          <w:sz w:val="20"/>
          <w:szCs w:val="20"/>
          <w:lang w:val="en-US" w:eastAsia="zh-CN" w:bidi="ar-SA"/>
        </w:rPr>
      </w:pPr>
      <w:r>
        <w:rPr>
          <w:rFonts w:hint="eastAsia" w:eastAsia="宋体" w:cs="Times New Roman"/>
          <w:b w:val="0"/>
          <w:bCs w:val="0"/>
          <w:color w:val="auto"/>
          <w:sz w:val="20"/>
          <w:szCs w:val="20"/>
          <w:highlight w:val="none"/>
          <w:lang w:val="en-US" w:eastAsia="zh-CN"/>
        </w:rPr>
        <w:t xml:space="preserve">As can be seen for table 2, some of the requirements such as </w:t>
      </w:r>
      <w:r>
        <w:rPr>
          <w:color w:val="auto"/>
          <w:sz w:val="20"/>
          <w:szCs w:val="20"/>
          <w:lang w:val="en-GB" w:eastAsia="en-GB"/>
        </w:rPr>
        <w:t>UE maximum output power for Inter-band CA</w:t>
      </w:r>
      <w:r>
        <w:rPr>
          <w:rFonts w:hint="eastAsia" w:eastAsia="宋体"/>
          <w:color w:val="auto"/>
          <w:sz w:val="20"/>
          <w:szCs w:val="20"/>
          <w:lang w:val="en-US" w:eastAsia="zh-CN"/>
        </w:rPr>
        <w:t xml:space="preserve"> and </w:t>
      </w:r>
      <w:r>
        <w:rPr>
          <w:rFonts w:ascii="Times New Roman" w:hAnsi="Times New Roman" w:eastAsia="MS Mincho" w:cs="Times New Roman"/>
          <w:color w:val="auto"/>
          <w:sz w:val="20"/>
          <w:szCs w:val="20"/>
          <w:lang w:val="en-GB" w:eastAsia="en-GB" w:bidi="ar-SA"/>
        </w:rPr>
        <w:t>Output RF spectrum emissions for CA</w:t>
      </w:r>
      <w:r>
        <w:rPr>
          <w:rFonts w:hint="eastAsia" w:eastAsia="宋体" w:cs="Times New Roman"/>
          <w:color w:val="auto"/>
          <w:sz w:val="20"/>
          <w:szCs w:val="20"/>
          <w:lang w:val="en-US" w:eastAsia="zh-CN" w:bidi="ar-SA"/>
        </w:rPr>
        <w:t xml:space="preserve"> are defined as:</w:t>
      </w:r>
    </w:p>
    <w:p>
      <w:pPr>
        <w:keepNext/>
        <w:keepLines/>
        <w:pageBreakBefore w:val="0"/>
        <w:widowControl/>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rPr>
      </w:pPr>
      <w:r>
        <w:rPr>
          <w:rFonts w:ascii="Times New Roman" w:hAnsi="Times New Roman" w:eastAsia="Times New Roman" w:cs="Times New Roman"/>
          <w:i w:val="0"/>
          <w:iCs w:val="0"/>
          <w:color w:val="auto"/>
          <w:sz w:val="20"/>
          <w:szCs w:val="20"/>
          <w:highlight w:val="yellow"/>
          <w:lang w:eastAsia="en-GB"/>
        </w:rPr>
        <w:t>For inter-band carrier aggregation with one uplink carrier assigned to one NR band</w:t>
      </w:r>
    </w:p>
    <w:p>
      <w:pPr>
        <w:keepNext/>
        <w:keepLines/>
        <w:pageBreakBefore w:val="0"/>
        <w:widowControl/>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green"/>
        </w:rPr>
        <w:t>For inter-band carrier aggregation with uplink assigned to two NR bands</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rPr>
        <w:t xml:space="preserve">For the first one, it is for </w:t>
      </w:r>
      <w:r>
        <w:rPr>
          <w:rFonts w:hint="eastAsia" w:ascii="Times New Roman" w:hAnsi="Times New Roman" w:eastAsia="宋体" w:cs="Times New Roman"/>
          <w:b w:val="0"/>
          <w:bCs w:val="0"/>
          <w:color w:val="auto"/>
          <w:sz w:val="20"/>
          <w:szCs w:val="20"/>
          <w:highlight w:val="none"/>
          <w:lang w:val="en-US" w:eastAsia="zh-CN" w:bidi="ar-SA"/>
        </w:rPr>
        <w:t>single carrier supported</w:t>
      </w:r>
      <w:r>
        <w:rPr>
          <w:rFonts w:hint="eastAsia" w:eastAsia="宋体"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zh-CN" w:bidi="ar-SA"/>
        </w:rPr>
        <w:t>in one NR band</w:t>
      </w:r>
      <w:r>
        <w:rPr>
          <w:rFonts w:hint="eastAsia" w:eastAsia="宋体" w:cs="Times New Roman"/>
          <w:b w:val="0"/>
          <w:bCs w:val="0"/>
          <w:color w:val="auto"/>
          <w:sz w:val="20"/>
          <w:szCs w:val="20"/>
          <w:highlight w:val="none"/>
          <w:lang w:val="en-US" w:eastAsia="zh-CN" w:bidi="ar-SA"/>
        </w:rPr>
        <w:t xml:space="preserve">, corresponding to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 of UL CA configurations, and for the second one, it is for u</w:t>
      </w:r>
      <w:r>
        <w:rPr>
          <w:rFonts w:hint="eastAsia" w:ascii="Times New Roman" w:hAnsi="Times New Roman" w:eastAsia="宋体" w:cs="Times New Roman"/>
          <w:b w:val="0"/>
          <w:bCs w:val="0"/>
          <w:color w:val="auto"/>
          <w:sz w:val="20"/>
          <w:szCs w:val="20"/>
          <w:highlight w:val="none"/>
          <w:lang w:val="en-US" w:eastAsia="zh-CN" w:bidi="ar-SA"/>
        </w:rPr>
        <w:t>plink CA configuration</w:t>
      </w:r>
      <w:r>
        <w:rPr>
          <w:rFonts w:hint="eastAsia" w:eastAsia="宋体"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zh-CN" w:bidi="ar-SA"/>
        </w:rPr>
        <w:t>supported</w:t>
      </w:r>
      <w:r>
        <w:rPr>
          <w:rFonts w:hint="eastAsia" w:eastAsia="宋体" w:cs="Times New Roman"/>
          <w:b w:val="0"/>
          <w:bCs w:val="0"/>
          <w:color w:val="auto"/>
          <w:sz w:val="20"/>
          <w:szCs w:val="20"/>
          <w:highlight w:val="none"/>
          <w:lang w:val="en-US" w:eastAsia="zh-CN" w:bidi="ar-SA"/>
        </w:rPr>
        <w:t xml:space="preserve">  in the uplink, corresponding to </w:t>
      </w:r>
      <w:r>
        <w:rPr>
          <w:rFonts w:hint="default" w:eastAsia="宋体" w:cs="Times New Roman"/>
          <w:b w:val="0"/>
          <w:bCs w:val="0"/>
          <w:color w:val="auto"/>
          <w:sz w:val="20"/>
          <w:szCs w:val="20"/>
          <w:highlight w:val="none"/>
          <w:lang w:val="en-US" w:eastAsia="zh-CN" w:bidi="ar-SA"/>
        </w:rPr>
        <w:t>‘</w:t>
      </w:r>
      <w:r>
        <w:rPr>
          <w:rFonts w:hint="eastAsia" w:cs="Times New Roman"/>
          <w:b w:val="0"/>
          <w:bCs/>
          <w:color w:val="auto"/>
          <w:sz w:val="20"/>
          <w:szCs w:val="20"/>
          <w:lang w:val="en-US" w:eastAsia="zh-CN"/>
        </w:rPr>
        <w:t>nXA-nYA</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 of UL CA configurations.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bidi="ar-SA"/>
        </w:rPr>
        <w:t xml:space="preserve">For the other </w:t>
      </w:r>
      <w:r>
        <w:rPr>
          <w:rFonts w:hint="eastAsia" w:eastAsia="宋体" w:cs="Times New Roman"/>
          <w:b w:val="0"/>
          <w:bCs w:val="0"/>
          <w:color w:val="auto"/>
          <w:sz w:val="20"/>
          <w:szCs w:val="20"/>
          <w:highlight w:val="none"/>
          <w:lang w:val="en-US" w:eastAsia="zh-CN"/>
        </w:rPr>
        <w:t xml:space="preserve">requirements, only the definition for </w:t>
      </w:r>
      <w:r>
        <w:rPr>
          <w:rFonts w:hint="default" w:ascii="Times New Roman" w:hAnsi="Times New Roman" w:cs="Times New Roman"/>
          <w:color w:val="auto"/>
          <w:sz w:val="20"/>
          <w:szCs w:val="20"/>
          <w:highlight w:val="green"/>
        </w:rPr>
        <w:t>inter-band carrier aggregation with uplink assigned to two NR bands</w:t>
      </w:r>
      <w:r>
        <w:rPr>
          <w:rFonts w:hint="eastAsia" w:eastAsia="宋体" w:cs="Times New Roman"/>
          <w:color w:val="auto"/>
          <w:sz w:val="20"/>
          <w:szCs w:val="20"/>
          <w:highlight w:val="green"/>
          <w:lang w:val="en-US" w:eastAsia="zh-CN"/>
        </w:rPr>
        <w:t xml:space="preserve"> </w:t>
      </w:r>
      <w:r>
        <w:rPr>
          <w:rFonts w:hint="eastAsia" w:eastAsia="宋体" w:cs="Times New Roman"/>
          <w:b w:val="0"/>
          <w:bCs w:val="0"/>
          <w:color w:val="auto"/>
          <w:sz w:val="20"/>
          <w:szCs w:val="20"/>
          <w:highlight w:val="none"/>
          <w:lang w:val="en-US" w:eastAsia="zh-CN"/>
        </w:rPr>
        <w:t>are included.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In addition, as discussed above, some other types of UL CA configurations are introduced in later releases, for example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nXC</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 of UL CA configurations. For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nXC</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we believe the requirements for intra-band contiguous CA for the constitute band are applied, which are different definitions/descriptions with that in Rel-15.</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Moreover, when inter-band NR CA_n46+n48 band combination introduced in Rel-17 TS38.101-1 spec, the UL CA configurations of </w:t>
      </w:r>
      <w:r>
        <w:rPr>
          <w:rFonts w:hint="eastAsia" w:ascii="Times New Roman" w:hAnsi="Times New Roman" w:eastAsia="宋体" w:cs="Times New Roman"/>
          <w:color w:val="auto"/>
          <w:sz w:val="20"/>
          <w:highlight w:val="none"/>
          <w:lang w:val="en-US" w:eastAsia="zh-CN"/>
        </w:rPr>
        <w:t xml:space="preserve">CA_n46A-n48B is supported. At that time, CR only for Pcmax requirement </w:t>
      </w:r>
      <w:r>
        <w:rPr>
          <w:rFonts w:hint="default" w:ascii="Times New Roman" w:hAnsi="Times New Roman" w:eastAsia="宋体" w:cs="Times New Roman"/>
          <w:b w:val="0"/>
          <w:bCs w:val="0"/>
          <w:color w:val="auto"/>
          <w:sz w:val="20"/>
          <w:szCs w:val="20"/>
          <w:highlight w:val="none"/>
          <w:lang w:val="en-US" w:eastAsia="ja-JP"/>
        </w:rPr>
        <w:t>for inter-band CA category A-B combos</w:t>
      </w:r>
      <w:r>
        <w:rPr>
          <w:rFonts w:hint="eastAsia" w:ascii="Times New Roman" w:hAnsi="Times New Roman" w:eastAsia="宋体" w:cs="Times New Roman"/>
          <w:b w:val="0"/>
          <w:bCs w:val="0"/>
          <w:color w:val="auto"/>
          <w:sz w:val="20"/>
          <w:szCs w:val="20"/>
          <w:highlight w:val="none"/>
          <w:lang w:val="en-US" w:eastAsia="zh-CN"/>
        </w:rPr>
        <w:t xml:space="preserve"> was agreed in [1]. However, it was missing for the other Tx requirements.</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Some of the Tx requirements are only defined for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nXA-nYA</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type of UL CA configurations, which means for inter-band NR CA Tx requirements in TS38.101-1:</w:t>
      </w:r>
    </w:p>
    <w:p>
      <w:pPr>
        <w:keepNext/>
        <w:keepLines/>
        <w:pageBreakBefore w:val="0"/>
        <w:widowControl/>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Requirements for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type of UL CA configurations are missing in Rel-15 /Rel-16/Rel-17 specs.</w:t>
      </w:r>
    </w:p>
    <w:p>
      <w:pPr>
        <w:keepNext/>
        <w:keepLines/>
        <w:pageBreakBefore w:val="0"/>
        <w:widowControl/>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Requirements for </w:t>
      </w:r>
      <w:r>
        <w:rPr>
          <w:rFonts w:hint="default" w:eastAsia="宋体" w:cs="Times New Roman"/>
          <w:b/>
          <w:bCs/>
          <w:color w:val="auto"/>
          <w:sz w:val="20"/>
          <w:szCs w:val="20"/>
          <w:highlight w:val="none"/>
          <w:lang w:val="en-US" w:eastAsia="zh-CN" w:bidi="ar-SA"/>
        </w:rPr>
        <w:t>‘</w:t>
      </w:r>
      <w:r>
        <w:rPr>
          <w:rFonts w:hint="eastAsia" w:ascii="Times New Roman" w:hAnsi="Times New Roman" w:eastAsia="宋体" w:cs="Times New Roman"/>
          <w:b/>
          <w:bCs/>
          <w:color w:val="auto"/>
          <w:sz w:val="20"/>
          <w:szCs w:val="20"/>
          <w:highlight w:val="none"/>
          <w:lang w:val="en-US" w:eastAsia="zh-CN" w:bidi="ar-SA"/>
        </w:rPr>
        <w:t>nXC</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type of UL CA configurations are missing in Rel-16/Rel-17 specs.</w:t>
      </w:r>
    </w:p>
    <w:p>
      <w:pPr>
        <w:keepNext/>
        <w:keepLines/>
        <w:pageBreakBefore w:val="0"/>
        <w:widowControl/>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Requirements for </w:t>
      </w:r>
      <w:r>
        <w:rPr>
          <w:rFonts w:hint="default" w:eastAsia="宋体" w:cs="Times New Roman"/>
          <w:b/>
          <w:bCs/>
          <w:color w:val="auto"/>
          <w:sz w:val="20"/>
          <w:szCs w:val="20"/>
          <w:highlight w:val="none"/>
          <w:lang w:val="en-US" w:eastAsia="zh-CN" w:bidi="ar-SA"/>
        </w:rPr>
        <w:t>‘</w:t>
      </w:r>
      <w:r>
        <w:rPr>
          <w:rFonts w:hint="eastAsia" w:ascii="Times New Roman" w:hAnsi="Times New Roman" w:eastAsia="宋体" w:cs="Times New Roman"/>
          <w:b/>
          <w:bCs/>
          <w:color w:val="auto"/>
          <w:sz w:val="20"/>
          <w:szCs w:val="20"/>
          <w:highlight w:val="none"/>
          <w:lang w:val="en-US" w:eastAsia="zh-CN" w:bidi="ar-SA"/>
        </w:rPr>
        <w:t>nX</w:t>
      </w:r>
      <w:r>
        <w:rPr>
          <w:rFonts w:hint="eastAsia" w:eastAsia="宋体" w:cs="Times New Roman"/>
          <w:b/>
          <w:bCs/>
          <w:color w:val="auto"/>
          <w:sz w:val="20"/>
          <w:szCs w:val="20"/>
          <w:highlight w:val="none"/>
          <w:lang w:val="en-US" w:eastAsia="zh-CN" w:bidi="ar-SA"/>
        </w:rPr>
        <w:t>(2A)</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and </w:t>
      </w:r>
      <w:r>
        <w:rPr>
          <w:rFonts w:hint="default" w:eastAsia="宋体" w:cs="Times New Roman"/>
          <w:b/>
          <w:bCs/>
          <w:color w:val="auto"/>
          <w:sz w:val="20"/>
          <w:szCs w:val="20"/>
          <w:highlight w:val="none"/>
          <w:lang w:val="en-US" w:eastAsia="zh-CN" w:bidi="ar-SA"/>
        </w:rPr>
        <w:t>‘</w:t>
      </w:r>
      <w:r>
        <w:rPr>
          <w:rFonts w:hint="eastAsia" w:ascii="Times New Roman" w:hAnsi="Times New Roman" w:eastAsia="宋体" w:cs="Times New Roman"/>
          <w:b/>
          <w:bCs/>
          <w:color w:val="auto"/>
          <w:sz w:val="20"/>
          <w:szCs w:val="20"/>
          <w:highlight w:val="none"/>
          <w:lang w:val="en-US" w:eastAsia="zh-CN" w:bidi="ar-SA"/>
        </w:rPr>
        <w:t>nX</w:t>
      </w:r>
      <w:r>
        <w:rPr>
          <w:rFonts w:hint="eastAsia" w:eastAsia="宋体" w:cs="Times New Roman"/>
          <w:b/>
          <w:bCs/>
          <w:color w:val="auto"/>
          <w:sz w:val="20"/>
          <w:szCs w:val="20"/>
          <w:highlight w:val="none"/>
          <w:lang w:val="en-US" w:eastAsia="zh-CN" w:bidi="ar-SA"/>
        </w:rPr>
        <w:t>A-nYB</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types of UL CA configurations are missing in Rel-17 spec.</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Last, we think a series of CRs are needed to complete the definitions step by step considering the mirror CRs(i.e. cat A CR) need to keep consistency with Cat F CR, where:</w:t>
      </w:r>
    </w:p>
    <w:p>
      <w:pPr>
        <w:keepNext/>
        <w:keepLines/>
        <w:pageBreakBefore w:val="0"/>
        <w:widowControl/>
        <w:numPr>
          <w:ilvl w:val="0"/>
          <w:numId w:val="15"/>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Rel-15 CR(cat F) + Rel-16 CR(cat A) + Rel-17 CR(cat A) : To complete the definitions to include the missing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 of UL CA configurations.</w:t>
      </w:r>
    </w:p>
    <w:p>
      <w:pPr>
        <w:keepNext/>
        <w:keepLines/>
        <w:pageBreakBefore w:val="0"/>
        <w:widowControl/>
        <w:numPr>
          <w:ilvl w:val="0"/>
          <w:numId w:val="15"/>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Rel-16 CR(cat F) + Rel-17 CR(cat A): To complete the definitions to include the missing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nXC</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 of UL CA configurations.</w:t>
      </w:r>
    </w:p>
    <w:p>
      <w:pPr>
        <w:keepNext/>
        <w:keepLines/>
        <w:pageBreakBefore w:val="0"/>
        <w:widowControl/>
        <w:numPr>
          <w:ilvl w:val="0"/>
          <w:numId w:val="15"/>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Only Rel-17 CR(cat F): To complete the definitions to include the missing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nX(2A)</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and </w:t>
      </w:r>
      <w:r>
        <w:rPr>
          <w:rFonts w:hint="default"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nXA-nYB</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types of UL CA configurations.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The companion CRs are submitted in [2~7] in this meeting.</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found incomplete definitions/descriptions for some Tx requirements for inter-band NR CA band combination due to different types of Uplink CA configuration are supported in different releases TS38.101-1 spec.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A series of companion CRs are provided in [2~7] to </w:t>
      </w:r>
      <w:r>
        <w:rPr>
          <w:rFonts w:hint="eastAsia" w:eastAsia="宋体" w:cs="Times New Roman"/>
          <w:i w:val="0"/>
          <w:iCs w:val="0"/>
          <w:color w:val="auto"/>
          <w:sz w:val="20"/>
          <w:szCs w:val="20"/>
          <w:highlight w:val="none"/>
          <w:lang w:val="en-US" w:eastAsia="zh-CN" w:bidi="ar-SA"/>
        </w:rPr>
        <w:t>complete definitions/descriptions. It is proposed: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0"/>
          <w:highlight w:val="none"/>
          <w:lang w:val="en-US" w:eastAsia="zh-CN" w:bidi="ar-SA"/>
        </w:rPr>
      </w:pPr>
      <w:r>
        <w:rPr>
          <w:rFonts w:hint="eastAsia" w:eastAsia="宋体" w:cs="Times New Roman"/>
          <w:b/>
          <w:bCs/>
          <w:i w:val="0"/>
          <w:iCs w:val="0"/>
          <w:color w:val="auto"/>
          <w:sz w:val="20"/>
          <w:szCs w:val="20"/>
          <w:highlight w:val="none"/>
          <w:lang w:val="en-US" w:eastAsia="zh-CN" w:bidi="ar-SA"/>
        </w:rPr>
        <w:t xml:space="preserve">Proposal 1. To agree the </w:t>
      </w:r>
      <w:r>
        <w:rPr>
          <w:rFonts w:hint="eastAsia" w:eastAsia="宋体" w:cs="Times New Roman"/>
          <w:b/>
          <w:bCs/>
          <w:color w:val="auto"/>
          <w:sz w:val="20"/>
          <w:szCs w:val="20"/>
          <w:highlight w:val="none"/>
          <w:lang w:val="en-US" w:eastAsia="zh-CN" w:bidi="ar-SA"/>
        </w:rPr>
        <w:t>companion CRs provided in [2~7].</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R4-2103147</w:t>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Introduction of specific Pcmax requirements for inter-band CA category A-B combos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 xml:space="preserve">InterDigital Communications, Charter Communications </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R4-2112905</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CR to TS38.101-1</w:t>
      </w:r>
      <w:r>
        <w:rPr>
          <w:rFonts w:hint="eastAsia" w:ascii="Times New Roman" w:hAnsi="Times New Roman" w:eastAsia="宋体" w:cs="Times New Roman"/>
          <w:b w:val="0"/>
          <w:bCs w:val="0"/>
          <w:color w:val="auto"/>
          <w:sz w:val="20"/>
          <w:szCs w:val="20"/>
          <w:highlight w:val="none"/>
          <w:lang w:val="en-US" w:eastAsia="zh-CN"/>
        </w:rPr>
        <w:t>[R15]:</w:t>
      </w:r>
      <w:r>
        <w:rPr>
          <w:rFonts w:hint="default" w:ascii="Times New Roman" w:hAnsi="Times New Roman" w:eastAsia="宋体" w:cs="Times New Roman"/>
          <w:b w:val="0"/>
          <w:bCs w:val="0"/>
          <w:color w:val="auto"/>
          <w:sz w:val="20"/>
          <w:szCs w:val="20"/>
          <w:highlight w:val="none"/>
          <w:lang w:val="en-US" w:eastAsia="ja-JP"/>
        </w:rPr>
        <w:t xml:space="preserve"> Inter-band NR CA Tx requirement including single carrier UL configuration</w:t>
      </w:r>
      <w:r>
        <w:rPr>
          <w:rFonts w:hint="eastAsia" w:ascii="Times New Roman" w:hAnsi="Times New Roman" w:eastAsia="宋体" w:cs="Times New Roman"/>
          <w:b w:val="0"/>
          <w:bCs w:val="0"/>
          <w:color w:val="auto"/>
          <w:sz w:val="20"/>
          <w:szCs w:val="20"/>
          <w:highlight w:val="none"/>
          <w:lang w:val="en-US" w:eastAsia="zh-CN"/>
        </w:rPr>
        <w:t>,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3</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R4-211290</w:t>
      </w:r>
      <w:r>
        <w:rPr>
          <w:rFonts w:hint="eastAsia" w:eastAsia="宋体" w:cs="Times New Roman"/>
          <w:b w:val="0"/>
          <w:bCs w:val="0"/>
          <w:color w:val="auto"/>
          <w:sz w:val="20"/>
          <w:szCs w:val="20"/>
          <w:highlight w:val="none"/>
          <w:lang w:val="en-US" w:eastAsia="zh-CN"/>
        </w:rPr>
        <w:t>6</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CR to TS38.101-1</w:t>
      </w:r>
      <w:r>
        <w:rPr>
          <w:rFonts w:hint="eastAsia" w:ascii="Times New Roman" w:hAnsi="Times New Roman" w:eastAsia="宋体" w:cs="Times New Roman"/>
          <w:b w:val="0"/>
          <w:bCs w:val="0"/>
          <w:color w:val="auto"/>
          <w:sz w:val="20"/>
          <w:szCs w:val="20"/>
          <w:highlight w:val="none"/>
          <w:lang w:val="en-US" w:eastAsia="zh-CN"/>
        </w:rPr>
        <w:t>[R16]:</w:t>
      </w:r>
      <w:r>
        <w:rPr>
          <w:rFonts w:hint="default" w:ascii="Times New Roman" w:hAnsi="Times New Roman" w:eastAsia="宋体" w:cs="Times New Roman"/>
          <w:b w:val="0"/>
          <w:bCs w:val="0"/>
          <w:color w:val="auto"/>
          <w:sz w:val="20"/>
          <w:szCs w:val="20"/>
          <w:highlight w:val="none"/>
          <w:lang w:val="en-US" w:eastAsia="ja-JP"/>
        </w:rPr>
        <w:t xml:space="preserve"> Inter-band NR CA Tx requirement including single carrier UL configuration</w:t>
      </w:r>
      <w:r>
        <w:rPr>
          <w:rFonts w:hint="eastAsia" w:ascii="Times New Roman" w:hAnsi="Times New Roman" w:eastAsia="宋体" w:cs="Times New Roman"/>
          <w:b w:val="0"/>
          <w:bCs w:val="0"/>
          <w:color w:val="auto"/>
          <w:sz w:val="20"/>
          <w:szCs w:val="20"/>
          <w:highlight w:val="none"/>
          <w:lang w:val="en-US" w:eastAsia="zh-CN"/>
        </w:rPr>
        <w:t>,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[4] </w:t>
      </w:r>
      <w:r>
        <w:rPr>
          <w:rFonts w:hint="default" w:ascii="Times New Roman" w:hAnsi="Times New Roman" w:eastAsia="宋体" w:cs="Times New Roman"/>
          <w:b w:val="0"/>
          <w:bCs w:val="0"/>
          <w:color w:val="auto"/>
          <w:sz w:val="20"/>
          <w:szCs w:val="20"/>
          <w:highlight w:val="none"/>
          <w:lang w:val="en-US" w:eastAsia="ja-JP"/>
        </w:rPr>
        <w:t>R4-211290</w:t>
      </w:r>
      <w:r>
        <w:rPr>
          <w:rFonts w:hint="eastAsia" w:eastAsia="宋体" w:cs="Times New Roman"/>
          <w:b w:val="0"/>
          <w:bCs w:val="0"/>
          <w:color w:val="auto"/>
          <w:sz w:val="20"/>
          <w:szCs w:val="20"/>
          <w:highlight w:val="none"/>
          <w:lang w:val="en-US" w:eastAsia="zh-CN"/>
        </w:rPr>
        <w:t xml:space="preserve">7, </w:t>
      </w:r>
      <w:r>
        <w:rPr>
          <w:rFonts w:hint="default" w:ascii="Times New Roman" w:hAnsi="Times New Roman" w:eastAsia="宋体" w:cs="Times New Roman"/>
          <w:b w:val="0"/>
          <w:bCs w:val="0"/>
          <w:color w:val="auto"/>
          <w:sz w:val="20"/>
          <w:szCs w:val="20"/>
          <w:highlight w:val="none"/>
          <w:lang w:val="en-US" w:eastAsia="ja-JP"/>
        </w:rPr>
        <w:t>CR to TS38.101-1</w:t>
      </w:r>
      <w:r>
        <w:rPr>
          <w:rFonts w:hint="eastAsia" w:eastAsia="宋体" w:cs="Times New Roman"/>
          <w:b w:val="0"/>
          <w:bCs w:val="0"/>
          <w:color w:val="auto"/>
          <w:sz w:val="20"/>
          <w:szCs w:val="20"/>
          <w:highlight w:val="none"/>
          <w:lang w:val="en-US" w:eastAsia="zh-CN"/>
        </w:rPr>
        <w:t>[R17]:</w:t>
      </w:r>
      <w:r>
        <w:rPr>
          <w:rFonts w:hint="default" w:ascii="Times New Roman" w:hAnsi="Times New Roman" w:eastAsia="宋体" w:cs="Times New Roman"/>
          <w:b w:val="0"/>
          <w:bCs w:val="0"/>
          <w:color w:val="auto"/>
          <w:sz w:val="20"/>
          <w:szCs w:val="20"/>
          <w:highlight w:val="none"/>
          <w:lang w:val="en-US" w:eastAsia="ja-JP"/>
        </w:rPr>
        <w:t xml:space="preserve"> Inter-band NR CA Tx requirement including single carrier UL configuration</w:t>
      </w:r>
      <w:r>
        <w:rPr>
          <w:rFonts w:hint="eastAsia" w:ascii="Times New Roman" w:hAnsi="Times New Roman" w:eastAsia="宋体" w:cs="Times New Roman"/>
          <w:b w:val="0"/>
          <w:bCs w:val="0"/>
          <w:color w:val="auto"/>
          <w:sz w:val="20"/>
          <w:szCs w:val="20"/>
          <w:highlight w:val="none"/>
          <w:lang w:val="en-US" w:eastAsia="zh-CN"/>
        </w:rPr>
        <w:t>,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[5] </w:t>
      </w:r>
      <w:r>
        <w:rPr>
          <w:rFonts w:hint="eastAsia" w:ascii="Times New Roman" w:hAnsi="Times New Roman" w:eastAsia="宋体" w:cs="Times New Roman"/>
          <w:b w:val="0"/>
          <w:bCs w:val="0"/>
          <w:color w:val="auto"/>
          <w:sz w:val="20"/>
          <w:szCs w:val="20"/>
          <w:highlight w:val="none"/>
          <w:lang w:val="en-US" w:eastAsia="zh-CN"/>
        </w:rPr>
        <w:t>R4-211290</w:t>
      </w:r>
      <w:r>
        <w:rPr>
          <w:rFonts w:hint="eastAsia" w:eastAsia="宋体" w:cs="Times New Roman"/>
          <w:b w:val="0"/>
          <w:bCs w:val="0"/>
          <w:color w:val="auto"/>
          <w:sz w:val="20"/>
          <w:szCs w:val="20"/>
          <w:highlight w:val="none"/>
          <w:lang w:val="en-US" w:eastAsia="zh-CN"/>
        </w:rPr>
        <w:t xml:space="preserve">8, </w:t>
      </w:r>
      <w:r>
        <w:rPr>
          <w:rFonts w:hint="eastAsia" w:ascii="Times New Roman" w:hAnsi="Times New Roman" w:eastAsia="宋体" w:cs="Times New Roman"/>
          <w:b w:val="0"/>
          <w:bCs w:val="0"/>
          <w:color w:val="auto"/>
          <w:sz w:val="20"/>
          <w:szCs w:val="20"/>
          <w:highlight w:val="none"/>
          <w:lang w:val="en-US" w:eastAsia="zh-CN"/>
        </w:rPr>
        <w:t>CR to TS38.101-1[R16]</w:t>
      </w:r>
      <w:r>
        <w:rPr>
          <w:rFonts w:hint="eastAsia"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Inter-band NR CA Tx requirement including intra-band contiguous CA UL configuration,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[6] </w:t>
      </w:r>
      <w:r>
        <w:rPr>
          <w:rFonts w:hint="eastAsia" w:ascii="Times New Roman" w:hAnsi="Times New Roman" w:eastAsia="宋体" w:cs="Times New Roman"/>
          <w:b w:val="0"/>
          <w:bCs w:val="0"/>
          <w:color w:val="auto"/>
          <w:sz w:val="20"/>
          <w:szCs w:val="20"/>
          <w:highlight w:val="none"/>
          <w:lang w:val="en-US" w:eastAsia="zh-CN"/>
        </w:rPr>
        <w:t>R4-211290</w:t>
      </w:r>
      <w:r>
        <w:rPr>
          <w:rFonts w:hint="eastAsia" w:eastAsia="宋体" w:cs="Times New Roman"/>
          <w:b w:val="0"/>
          <w:bCs w:val="0"/>
          <w:color w:val="auto"/>
          <w:sz w:val="20"/>
          <w:szCs w:val="20"/>
          <w:highlight w:val="none"/>
          <w:lang w:val="en-US" w:eastAsia="zh-CN"/>
        </w:rPr>
        <w:t xml:space="preserve">9, </w:t>
      </w:r>
      <w:r>
        <w:rPr>
          <w:rFonts w:hint="eastAsia" w:ascii="Times New Roman" w:hAnsi="Times New Roman" w:eastAsia="宋体" w:cs="Times New Roman"/>
          <w:b w:val="0"/>
          <w:bCs w:val="0"/>
          <w:color w:val="auto"/>
          <w:sz w:val="20"/>
          <w:szCs w:val="20"/>
          <w:highlight w:val="none"/>
          <w:lang w:val="en-US" w:eastAsia="zh-CN"/>
        </w:rPr>
        <w:t>CR to TS38.101-1[R1</w:t>
      </w:r>
      <w:r>
        <w:rPr>
          <w:rFonts w:hint="eastAsia" w:eastAsia="宋体" w:cs="Times New Roman"/>
          <w:b w:val="0"/>
          <w:bCs w:val="0"/>
          <w:color w:val="auto"/>
          <w:sz w:val="20"/>
          <w:szCs w:val="20"/>
          <w:highlight w:val="none"/>
          <w:lang w:val="en-US" w:eastAsia="zh-CN"/>
        </w:rPr>
        <w:t>7</w:t>
      </w:r>
      <w:r>
        <w:rPr>
          <w:rFonts w:hint="eastAsia" w:ascii="Times New Roman" w:hAnsi="Times New Roman"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Inter-band NR CA Tx requirement including intra-band contiguous CA UL configuration,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[7] </w:t>
      </w:r>
      <w:r>
        <w:rPr>
          <w:rFonts w:hint="eastAsia" w:ascii="Times New Roman" w:hAnsi="Times New Roman" w:eastAsia="宋体" w:cs="Times New Roman"/>
          <w:b w:val="0"/>
          <w:bCs w:val="0"/>
          <w:color w:val="auto"/>
          <w:sz w:val="20"/>
          <w:szCs w:val="20"/>
          <w:highlight w:val="none"/>
          <w:lang w:val="en-US" w:eastAsia="zh-CN"/>
        </w:rPr>
        <w:t>R4-21129</w:t>
      </w:r>
      <w:r>
        <w:rPr>
          <w:rFonts w:hint="eastAsia" w:eastAsia="宋体" w:cs="Times New Roman"/>
          <w:b w:val="0"/>
          <w:bCs w:val="0"/>
          <w:color w:val="auto"/>
          <w:sz w:val="20"/>
          <w:szCs w:val="20"/>
          <w:highlight w:val="none"/>
          <w:lang w:val="en-US" w:eastAsia="zh-CN"/>
        </w:rPr>
        <w:t>10</w:t>
      </w:r>
      <w:bookmarkStart w:id="153" w:name="_GoBack"/>
      <w:bookmarkEnd w:id="153"/>
      <w:r>
        <w:rPr>
          <w:rFonts w:hint="eastAsia"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CR to TS38.101-1[R17]</w:t>
      </w:r>
      <w:r>
        <w:rPr>
          <w:rFonts w:hint="eastAsia"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Inter-band NR CA Tx requirement including intra-band </w:t>
      </w:r>
      <w:r>
        <w:rPr>
          <w:rFonts w:hint="eastAsia" w:eastAsia="宋体" w:cs="Times New Roman"/>
          <w:b w:val="0"/>
          <w:bCs w:val="0"/>
          <w:color w:val="auto"/>
          <w:sz w:val="20"/>
          <w:szCs w:val="20"/>
          <w:highlight w:val="none"/>
          <w:lang w:val="en-US" w:eastAsia="zh-CN"/>
        </w:rPr>
        <w:t>non-</w:t>
      </w:r>
      <w:r>
        <w:rPr>
          <w:rFonts w:hint="eastAsia" w:ascii="Times New Roman" w:hAnsi="Times New Roman" w:eastAsia="宋体" w:cs="Times New Roman"/>
          <w:b w:val="0"/>
          <w:bCs w:val="0"/>
          <w:color w:val="auto"/>
          <w:sz w:val="20"/>
          <w:szCs w:val="20"/>
          <w:highlight w:val="none"/>
          <w:lang w:val="en-US" w:eastAsia="zh-CN"/>
        </w:rPr>
        <w:t>contiguous CA</w:t>
      </w:r>
      <w:r>
        <w:rPr>
          <w:rFonts w:hint="eastAsia"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and combinations of intra-band and inter-band CA UL configuration, ZTE</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color w:val="auto"/>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5673F"/>
    <w:multiLevelType w:val="singleLevel"/>
    <w:tmpl w:val="BAE5673F"/>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1">
    <w:nsid w:val="D8E8CBB5"/>
    <w:multiLevelType w:val="singleLevel"/>
    <w:tmpl w:val="D8E8CBB5"/>
    <w:lvl w:ilvl="0" w:tentative="0">
      <w:start w:val="1"/>
      <w:numFmt w:val="decimal"/>
      <w:suff w:val="space"/>
      <w:lvlText w:val="%1."/>
      <w:lvlJc w:val="left"/>
    </w:lvl>
  </w:abstractNum>
  <w:abstractNum w:abstractNumId="2">
    <w:nsid w:val="F512827C"/>
    <w:multiLevelType w:val="singleLevel"/>
    <w:tmpl w:val="F512827C"/>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3">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4">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5">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6">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7">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6"/>
  </w:num>
  <w:num w:numId="3">
    <w:abstractNumId w:val="5"/>
  </w:num>
  <w:num w:numId="4">
    <w:abstractNumId w:val="4"/>
  </w:num>
  <w:num w:numId="5">
    <w:abstractNumId w:val="3"/>
  </w:num>
  <w:num w:numId="6">
    <w:abstractNumId w:val="10"/>
  </w:num>
  <w:num w:numId="7">
    <w:abstractNumId w:val="12"/>
  </w:num>
  <w:num w:numId="8">
    <w:abstractNumId w:val="14"/>
  </w:num>
  <w:num w:numId="9">
    <w:abstractNumId w:val="8"/>
  </w:num>
  <w:num w:numId="10">
    <w:abstractNumId w:val="9"/>
  </w:num>
  <w:num w:numId="11">
    <w:abstractNumId w:val="7"/>
  </w:num>
  <w:num w:numId="12">
    <w:abstractNumId w:val="13"/>
  </w:num>
  <w:num w:numId="13">
    <w:abstractNumId w:val="0"/>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123F"/>
    <w:rsid w:val="01CC7635"/>
    <w:rsid w:val="01D63E85"/>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679BC"/>
    <w:rsid w:val="02A175C2"/>
    <w:rsid w:val="02A27389"/>
    <w:rsid w:val="02A7092C"/>
    <w:rsid w:val="02A76EA9"/>
    <w:rsid w:val="02A774B5"/>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969BE"/>
    <w:rsid w:val="04921B49"/>
    <w:rsid w:val="049377A7"/>
    <w:rsid w:val="04970C3A"/>
    <w:rsid w:val="04A63DE5"/>
    <w:rsid w:val="04AD5427"/>
    <w:rsid w:val="04B0405A"/>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56920"/>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644AE"/>
    <w:rsid w:val="0A4A59C9"/>
    <w:rsid w:val="0A5457B3"/>
    <w:rsid w:val="0A565E7D"/>
    <w:rsid w:val="0A57184A"/>
    <w:rsid w:val="0A5A056E"/>
    <w:rsid w:val="0A5B32E2"/>
    <w:rsid w:val="0A5E7873"/>
    <w:rsid w:val="0A5E7B47"/>
    <w:rsid w:val="0A62431C"/>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A43E8"/>
    <w:rsid w:val="0D5F33A1"/>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F145DD"/>
    <w:rsid w:val="10F211FC"/>
    <w:rsid w:val="10F4334C"/>
    <w:rsid w:val="10F4625F"/>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32E8E"/>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A41AA"/>
    <w:rsid w:val="184B1D82"/>
    <w:rsid w:val="184C2AC1"/>
    <w:rsid w:val="184F4D75"/>
    <w:rsid w:val="18564BD0"/>
    <w:rsid w:val="185668C4"/>
    <w:rsid w:val="185B771D"/>
    <w:rsid w:val="186978B3"/>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63A89"/>
    <w:rsid w:val="1E5F17F6"/>
    <w:rsid w:val="1E687705"/>
    <w:rsid w:val="1E6E32B3"/>
    <w:rsid w:val="1E724F55"/>
    <w:rsid w:val="1E732462"/>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D7DE8"/>
    <w:rsid w:val="272F5B33"/>
    <w:rsid w:val="27304E3B"/>
    <w:rsid w:val="273278B9"/>
    <w:rsid w:val="27350F58"/>
    <w:rsid w:val="27352C28"/>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0827"/>
    <w:rsid w:val="29244DC0"/>
    <w:rsid w:val="2924662A"/>
    <w:rsid w:val="29274AB5"/>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B4680"/>
    <w:rsid w:val="302608B5"/>
    <w:rsid w:val="302719FF"/>
    <w:rsid w:val="302722EF"/>
    <w:rsid w:val="30293768"/>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5353A"/>
    <w:rsid w:val="370778E1"/>
    <w:rsid w:val="370A62C5"/>
    <w:rsid w:val="37110637"/>
    <w:rsid w:val="37126926"/>
    <w:rsid w:val="37142C90"/>
    <w:rsid w:val="371611E5"/>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34774"/>
    <w:rsid w:val="389970CB"/>
    <w:rsid w:val="389D435C"/>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70119"/>
    <w:rsid w:val="38EB4F83"/>
    <w:rsid w:val="38EC000D"/>
    <w:rsid w:val="38EF3677"/>
    <w:rsid w:val="38F078C9"/>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819C0"/>
    <w:rsid w:val="393244B6"/>
    <w:rsid w:val="39355B2F"/>
    <w:rsid w:val="39395BBC"/>
    <w:rsid w:val="393A22B3"/>
    <w:rsid w:val="393B7E98"/>
    <w:rsid w:val="393F7A28"/>
    <w:rsid w:val="39402C51"/>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724C49"/>
    <w:rsid w:val="44735953"/>
    <w:rsid w:val="44763A3C"/>
    <w:rsid w:val="44783E69"/>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3F78"/>
    <w:rsid w:val="45551856"/>
    <w:rsid w:val="45556C4B"/>
    <w:rsid w:val="45564419"/>
    <w:rsid w:val="45582AA2"/>
    <w:rsid w:val="45601CE9"/>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2710B"/>
    <w:rsid w:val="466615E3"/>
    <w:rsid w:val="466D0B7B"/>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36585"/>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F454F"/>
    <w:rsid w:val="4B645AA7"/>
    <w:rsid w:val="4B652FA5"/>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4166CC"/>
    <w:rsid w:val="4C437595"/>
    <w:rsid w:val="4C452FFF"/>
    <w:rsid w:val="4C4E4107"/>
    <w:rsid w:val="4C54613D"/>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D465C"/>
    <w:rsid w:val="4DAE182B"/>
    <w:rsid w:val="4DB477A0"/>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325A21"/>
    <w:rsid w:val="50337DE4"/>
    <w:rsid w:val="503835C1"/>
    <w:rsid w:val="503A4A06"/>
    <w:rsid w:val="503D1721"/>
    <w:rsid w:val="50421FAC"/>
    <w:rsid w:val="504827D0"/>
    <w:rsid w:val="50551A7C"/>
    <w:rsid w:val="50590640"/>
    <w:rsid w:val="505A1971"/>
    <w:rsid w:val="505B00FA"/>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4744A4"/>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273C4"/>
    <w:rsid w:val="527564BE"/>
    <w:rsid w:val="52764A75"/>
    <w:rsid w:val="527B13A9"/>
    <w:rsid w:val="52832444"/>
    <w:rsid w:val="52921FF3"/>
    <w:rsid w:val="52934ED9"/>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30088"/>
    <w:rsid w:val="53961443"/>
    <w:rsid w:val="53A37A08"/>
    <w:rsid w:val="53A756C3"/>
    <w:rsid w:val="53AA3007"/>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B3A01"/>
    <w:rsid w:val="54AF4B43"/>
    <w:rsid w:val="54B14614"/>
    <w:rsid w:val="54B153A9"/>
    <w:rsid w:val="54B65383"/>
    <w:rsid w:val="54B74AF7"/>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7B72"/>
    <w:rsid w:val="560C7E69"/>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B0BAB"/>
    <w:rsid w:val="57080827"/>
    <w:rsid w:val="5711084C"/>
    <w:rsid w:val="57112AC8"/>
    <w:rsid w:val="57125F43"/>
    <w:rsid w:val="571473A3"/>
    <w:rsid w:val="57196CD6"/>
    <w:rsid w:val="5727583C"/>
    <w:rsid w:val="572801CF"/>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802421"/>
    <w:rsid w:val="58875F73"/>
    <w:rsid w:val="588D1666"/>
    <w:rsid w:val="588F59D6"/>
    <w:rsid w:val="588F71C9"/>
    <w:rsid w:val="58914185"/>
    <w:rsid w:val="58920F1B"/>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C10669"/>
    <w:rsid w:val="59C40F2A"/>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D3062"/>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B16240"/>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3755"/>
    <w:rsid w:val="5E5C65F2"/>
    <w:rsid w:val="5E640DBC"/>
    <w:rsid w:val="5E67334E"/>
    <w:rsid w:val="5E67568D"/>
    <w:rsid w:val="5E696614"/>
    <w:rsid w:val="5E697941"/>
    <w:rsid w:val="5E707C95"/>
    <w:rsid w:val="5E7877CB"/>
    <w:rsid w:val="5E794C04"/>
    <w:rsid w:val="5E795C99"/>
    <w:rsid w:val="5E7C2DBF"/>
    <w:rsid w:val="5E802BA9"/>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D2ECB"/>
    <w:rsid w:val="60732D14"/>
    <w:rsid w:val="607524D0"/>
    <w:rsid w:val="60790820"/>
    <w:rsid w:val="607D133A"/>
    <w:rsid w:val="6082519D"/>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D001A0"/>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91A81"/>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55AA9"/>
    <w:rsid w:val="657701D4"/>
    <w:rsid w:val="657763D1"/>
    <w:rsid w:val="6577679C"/>
    <w:rsid w:val="65807AD8"/>
    <w:rsid w:val="65822FE0"/>
    <w:rsid w:val="65886C99"/>
    <w:rsid w:val="658B3278"/>
    <w:rsid w:val="659B3091"/>
    <w:rsid w:val="659F52F3"/>
    <w:rsid w:val="65A16EE2"/>
    <w:rsid w:val="65AA2639"/>
    <w:rsid w:val="65AB206F"/>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F566D"/>
    <w:rsid w:val="67477A3D"/>
    <w:rsid w:val="674836B0"/>
    <w:rsid w:val="674A7242"/>
    <w:rsid w:val="674C31F8"/>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93C5B"/>
    <w:rsid w:val="6A8A6E92"/>
    <w:rsid w:val="6A8C028A"/>
    <w:rsid w:val="6A8F5B50"/>
    <w:rsid w:val="6A901EF2"/>
    <w:rsid w:val="6A904CE3"/>
    <w:rsid w:val="6A984426"/>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B2108D"/>
    <w:rsid w:val="6BBA4ECD"/>
    <w:rsid w:val="6BC53A3C"/>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F537D"/>
    <w:rsid w:val="6F94219D"/>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D15DB"/>
    <w:rsid w:val="78DE5479"/>
    <w:rsid w:val="78E10719"/>
    <w:rsid w:val="78F14E36"/>
    <w:rsid w:val="78F2041F"/>
    <w:rsid w:val="78FB7710"/>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4537"/>
    <w:rsid w:val="7FA0015B"/>
    <w:rsid w:val="7FA83506"/>
    <w:rsid w:val="7FB0347F"/>
    <w:rsid w:val="7FB81DF3"/>
    <w:rsid w:val="7FBD4EB0"/>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2021-08-06T08:13:07Z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